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pPr>
      <w:r>
        <w:rPr>
          <w:rFonts w:ascii="黑体" w:hAnsi="宋体" w:eastAsia="黑体"/>
          <w:b/>
          <w:bCs/>
          <w:color w:val="000000"/>
          <w:sz w:val="72"/>
          <w:szCs w:val="72"/>
        </w:rPr>
        <w:drawing>
          <wp:inline distT="0" distB="0" distL="0" distR="0">
            <wp:extent cx="2435860" cy="687705"/>
            <wp:effectExtent l="19050" t="0" r="2540" b="0"/>
            <wp:docPr id="8" name="图片 3" descr="新余学院图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新余学院图标2"/>
                    <pic:cNvPicPr>
                      <a:picLocks noChangeAspect="1" noChangeArrowheads="1"/>
                    </pic:cNvPicPr>
                  </pic:nvPicPr>
                  <pic:blipFill>
                    <a:blip r:embed="rId4" cstate="print"/>
                    <a:srcRect/>
                    <a:stretch>
                      <a:fillRect/>
                    </a:stretch>
                  </pic:blipFill>
                  <pic:spPr>
                    <a:xfrm>
                      <a:off x="0" y="0"/>
                      <a:ext cx="2435860" cy="687705"/>
                    </a:xfrm>
                    <a:prstGeom prst="rect">
                      <a:avLst/>
                    </a:prstGeom>
                    <a:noFill/>
                    <a:ln w="9525">
                      <a:noFill/>
                      <a:miter lim="800000"/>
                      <a:headEnd/>
                      <a:tailEnd/>
                    </a:ln>
                  </pic:spPr>
                </pic:pic>
              </a:graphicData>
            </a:graphic>
          </wp:inline>
        </w:drawing>
      </w:r>
    </w:p>
    <w:p>
      <w:pPr>
        <w:adjustRightInd w:val="0"/>
        <w:snapToGrid w:val="0"/>
      </w:pPr>
    </w:p>
    <w:p>
      <w:pPr>
        <w:adjustRightInd w:val="0"/>
        <w:snapToGrid w:val="0"/>
        <w:jc w:val="center"/>
      </w:pPr>
    </w:p>
    <w:p>
      <w:pPr>
        <w:adjustRightInd w:val="0"/>
        <w:snapToGrid w:val="0"/>
        <w:jc w:val="center"/>
      </w:pPr>
    </w:p>
    <w:p>
      <w:pPr>
        <w:adjustRightInd w:val="0"/>
        <w:snapToGrid w:val="0"/>
        <w:jc w:val="center"/>
      </w:pPr>
    </w:p>
    <w:p>
      <w:pPr>
        <w:adjustRightInd w:val="0"/>
        <w:snapToGrid w:val="0"/>
        <w:jc w:val="center"/>
      </w:pPr>
    </w:p>
    <w:p>
      <w:pPr>
        <w:adjustRightInd w:val="0"/>
        <w:snapToGrid w:val="0"/>
        <w:jc w:val="center"/>
      </w:pPr>
    </w:p>
    <w:p>
      <w:pPr>
        <w:adjustRightInd w:val="0"/>
        <w:snapToGrid w:val="0"/>
        <w:jc w:val="center"/>
        <w:rPr>
          <w:sz w:val="52"/>
          <w:szCs w:val="52"/>
        </w:rPr>
      </w:pPr>
      <w:r>
        <w:rPr>
          <w:rFonts w:hint="eastAsia" w:ascii="黑体" w:hAnsi="宋体" w:eastAsia="黑体" w:cs="黑体"/>
          <w:b/>
          <w:sz w:val="52"/>
          <w:szCs w:val="52"/>
        </w:rPr>
        <w:t>新余学院本科教学质量报告</w:t>
      </w: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center"/>
        <w:rPr>
          <w:sz w:val="44"/>
          <w:szCs w:val="44"/>
        </w:rPr>
      </w:pPr>
      <w:r>
        <w:rPr>
          <w:rFonts w:hint="eastAsia" w:ascii="黑体" w:hAnsi="宋体" w:eastAsia="黑体" w:cs="黑体"/>
          <w:b/>
          <w:sz w:val="44"/>
          <w:szCs w:val="44"/>
        </w:rPr>
        <w:t>（2018-2019学年）</w:t>
      </w: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jc w:val="center"/>
        <w:rPr>
          <w:sz w:val="44"/>
          <w:szCs w:val="44"/>
        </w:rPr>
      </w:pPr>
      <w:r>
        <w:rPr>
          <w:rFonts w:hint="eastAsia" w:ascii="黑体" w:hAnsi="宋体" w:eastAsia="黑体" w:cs="黑体"/>
          <w:b/>
          <w:sz w:val="44"/>
          <w:szCs w:val="44"/>
        </w:rPr>
        <w:t>2019年12月</w:t>
      </w:r>
    </w:p>
    <w:p>
      <w:pPr>
        <w:adjustRightInd w:val="0"/>
        <w:snapToGrid w:val="0"/>
        <w:jc w:val="left"/>
      </w:pPr>
    </w:p>
    <w:p>
      <w:pPr>
        <w:adjustRightInd w:val="0"/>
        <w:snapToGrid w:val="0"/>
        <w:jc w:val="left"/>
      </w:pPr>
    </w:p>
    <w:p>
      <w:pPr>
        <w:adjustRightInd w:val="0"/>
        <w:snapToGrid w:val="0"/>
        <w:jc w:val="left"/>
      </w:pPr>
    </w:p>
    <w:p>
      <w:pPr>
        <w:adjustRightInd w:val="0"/>
        <w:snapToGrid w:val="0"/>
        <w:jc w:val="left"/>
      </w:pPr>
    </w:p>
    <w:p>
      <w:pPr>
        <w:adjustRightInd w:val="0"/>
        <w:snapToGrid w:val="0"/>
        <w:rPr>
          <w:rFonts w:ascii="Calibri" w:hAnsi="Calibri" w:eastAsia="宋体" w:cs="Times New Roman"/>
          <w:szCs w:val="22"/>
        </w:rPr>
        <w:sectPr>
          <w:pgSz w:w="11906" w:h="16838"/>
          <w:pgMar w:top="1440" w:right="1800" w:bottom="1440" w:left="1800" w:header="851" w:footer="992" w:gutter="0"/>
          <w:pgNumType w:start="1"/>
          <w:cols w:space="425" w:num="1"/>
          <w:docGrid w:type="lines" w:linePitch="312" w:charSpace="0"/>
        </w:sectPr>
      </w:pPr>
    </w:p>
    <w:p>
      <w:pPr>
        <w:adjustRightInd w:val="0"/>
        <w:snapToGrid w:val="0"/>
        <w:jc w:val="center"/>
        <w:rPr>
          <w:rFonts w:ascii="楷体" w:hAnsi="楷体" w:eastAsia="楷体" w:cs="楷体"/>
          <w:b/>
          <w:sz w:val="36"/>
          <w:szCs w:val="36"/>
        </w:rPr>
      </w:pPr>
    </w:p>
    <w:p>
      <w:pPr>
        <w:adjustRightInd w:val="0"/>
        <w:snapToGrid w:val="0"/>
        <w:jc w:val="center"/>
      </w:pPr>
      <w:r>
        <w:rPr>
          <w:rFonts w:hint="eastAsia" w:ascii="楷体" w:hAnsi="楷体" w:eastAsia="楷体" w:cs="楷体"/>
          <w:b/>
          <w:sz w:val="36"/>
          <w:szCs w:val="36"/>
        </w:rPr>
        <w:t>说  明</w:t>
      </w:r>
    </w:p>
    <w:p>
      <w:pPr>
        <w:adjustRightInd w:val="0"/>
        <w:snapToGrid w:val="0"/>
        <w:ind w:firstLine="600" w:firstLineChars="200"/>
        <w:jc w:val="left"/>
        <w:rPr>
          <w:rFonts w:ascii="楷体" w:hAnsi="楷体" w:eastAsia="楷体" w:cs="楷体"/>
          <w:sz w:val="30"/>
          <w:szCs w:val="30"/>
        </w:rPr>
      </w:pPr>
    </w:p>
    <w:p>
      <w:pPr>
        <w:adjustRightInd w:val="0"/>
        <w:snapToGrid w:val="0"/>
        <w:ind w:firstLine="600" w:firstLineChars="200"/>
        <w:jc w:val="left"/>
      </w:pPr>
      <w:r>
        <w:rPr>
          <w:rFonts w:hint="eastAsia" w:ascii="楷体" w:hAnsi="楷体" w:eastAsia="楷体" w:cs="楷体"/>
          <w:sz w:val="30"/>
          <w:szCs w:val="30"/>
        </w:rPr>
        <w:t>本报告是在高等教育质量监测国家数据平台根据我校提交的2018－2019学年本科教学基本状态数据，自动生成的质量报告框架初稿的基础上，我校根据实际情况及相关要求，经过补充完善而形成的完整稿《新余学院本科教学质量报告（2018－2019学年）》</w:t>
      </w:r>
      <w:r>
        <w:rPr>
          <w:rFonts w:hint="eastAsia" w:ascii="楷体" w:hAnsi="楷体" w:eastAsia="楷体" w:cs="楷体"/>
          <w:sz w:val="30"/>
          <w:szCs w:val="30"/>
          <w:lang w:eastAsia="zh-CN"/>
        </w:rPr>
        <w:t>。本报告已经过校长办公会议审议通过</w:t>
      </w:r>
      <w:r>
        <w:rPr>
          <w:rFonts w:hint="eastAsia" w:ascii="楷体" w:hAnsi="楷体" w:eastAsia="楷体" w:cs="楷体"/>
          <w:sz w:val="30"/>
          <w:szCs w:val="30"/>
        </w:rPr>
        <w:t>。</w:t>
      </w:r>
      <w:bookmarkStart w:id="1" w:name="_GoBack"/>
      <w:bookmarkEnd w:id="1"/>
    </w:p>
    <w:p>
      <w:pPr>
        <w:adjustRightInd w:val="0"/>
        <w:snapToGrid w:val="0"/>
        <w:jc w:val="left"/>
      </w:pPr>
    </w:p>
    <w:p>
      <w:pPr>
        <w:adjustRightInd w:val="0"/>
        <w:snapToGrid w:val="0"/>
        <w:jc w:val="left"/>
      </w:pPr>
    </w:p>
    <w:p>
      <w:pPr>
        <w:adjustRightInd w:val="0"/>
        <w:snapToGrid w:val="0"/>
        <w:jc w:val="left"/>
        <w:rPr>
          <w:rFonts w:ascii="Calibri" w:hAnsi="Calibri" w:eastAsia="宋体" w:cs="Times New Roman"/>
          <w:szCs w:val="22"/>
        </w:rPr>
      </w:pPr>
      <w:r>
        <w:rPr>
          <w:rFonts w:ascii="Calibri" w:hAnsi="Calibri" w:eastAsia="宋体" w:cs="Times New Roman"/>
          <w:szCs w:val="22"/>
        </w:rPr>
        <w:br w:type="page"/>
      </w:r>
    </w:p>
    <w:p>
      <w:pPr>
        <w:adjustRightInd w:val="0"/>
        <w:snapToGrid w:val="0"/>
        <w:ind w:firstLine="640" w:firstLineChars="200"/>
        <w:rPr>
          <w:rFonts w:ascii="黑体" w:hAnsi="宋体" w:eastAsia="黑体" w:cs="黑体"/>
          <w:sz w:val="32"/>
          <w:szCs w:val="32"/>
          <w:lang w:val="zh-CN"/>
        </w:rPr>
      </w:pPr>
      <w:r>
        <w:rPr>
          <w:rFonts w:hint="eastAsia" w:ascii="黑体" w:hAnsi="宋体" w:eastAsia="黑体" w:cs="黑体"/>
          <w:sz w:val="32"/>
          <w:szCs w:val="32"/>
          <w:lang w:val="zh-CN"/>
        </w:rPr>
        <w:t>目</w:t>
      </w:r>
      <w:r>
        <w:rPr>
          <w:rFonts w:hint="eastAsia" w:ascii="黑体" w:hAnsi="宋体" w:eastAsia="黑体" w:cs="黑体"/>
          <w:sz w:val="32"/>
          <w:szCs w:val="32"/>
        </w:rPr>
        <w:t xml:space="preserve">  </w:t>
      </w:r>
      <w:r>
        <w:rPr>
          <w:rFonts w:hint="eastAsia" w:ascii="黑体" w:hAnsi="宋体" w:eastAsia="黑体" w:cs="黑体"/>
          <w:sz w:val="32"/>
          <w:szCs w:val="32"/>
          <w:lang w:val="zh-CN"/>
        </w:rPr>
        <w:t>录</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学校概况</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一、本科教育基本情况</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（一）人才培养目标</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（二）学科专业设置情况</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（三）在校生规模</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（四）本科生生源质量</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二、师资与教学条件</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（一）师资队伍</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（二）本科主讲教师情况</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（三）教学经费投入情况</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（四）教学设施应用情况</w:t>
      </w:r>
    </w:p>
    <w:p>
      <w:pPr>
        <w:adjustRightInd w:val="0"/>
        <w:snapToGrid w:val="0"/>
        <w:ind w:firstLine="1200" w:firstLineChars="500"/>
        <w:jc w:val="left"/>
        <w:rPr>
          <w:rFonts w:asciiTheme="minorEastAsia" w:hAnsiTheme="minorEastAsia" w:cstheme="minorEastAsia"/>
          <w:sz w:val="24"/>
          <w:lang w:val="zh-CN"/>
        </w:rPr>
      </w:pPr>
      <w:r>
        <w:rPr>
          <w:rFonts w:hint="eastAsia" w:asciiTheme="minorEastAsia" w:hAnsiTheme="minorEastAsia" w:cstheme="minorEastAsia"/>
          <w:sz w:val="24"/>
          <w:lang w:val="zh-CN"/>
        </w:rPr>
        <w:t>1.教学用房</w:t>
      </w:r>
    </w:p>
    <w:p>
      <w:pPr>
        <w:adjustRightInd w:val="0"/>
        <w:snapToGrid w:val="0"/>
        <w:ind w:firstLine="1200" w:firstLineChars="500"/>
        <w:jc w:val="left"/>
        <w:rPr>
          <w:rFonts w:asciiTheme="minorEastAsia" w:hAnsiTheme="minorEastAsia" w:cstheme="minorEastAsia"/>
          <w:sz w:val="24"/>
          <w:lang w:val="zh-CN"/>
        </w:rPr>
      </w:pPr>
      <w:r>
        <w:rPr>
          <w:rFonts w:hint="eastAsia" w:asciiTheme="minorEastAsia" w:hAnsiTheme="minorEastAsia" w:cstheme="minorEastAsia"/>
          <w:sz w:val="24"/>
          <w:lang w:val="zh-CN"/>
        </w:rPr>
        <w:t>2.教学科研仪器设备与教学实验室</w:t>
      </w:r>
    </w:p>
    <w:p>
      <w:pPr>
        <w:adjustRightInd w:val="0"/>
        <w:snapToGrid w:val="0"/>
        <w:ind w:firstLine="1200" w:firstLineChars="500"/>
        <w:jc w:val="left"/>
        <w:rPr>
          <w:rFonts w:asciiTheme="minorEastAsia" w:hAnsiTheme="minorEastAsia" w:cstheme="minorEastAsia"/>
          <w:sz w:val="24"/>
          <w:lang w:val="zh-CN"/>
        </w:rPr>
      </w:pPr>
      <w:r>
        <w:rPr>
          <w:rFonts w:hint="eastAsia" w:asciiTheme="minorEastAsia" w:hAnsiTheme="minorEastAsia" w:cstheme="minorEastAsia"/>
          <w:sz w:val="24"/>
          <w:lang w:val="zh-CN"/>
        </w:rPr>
        <w:t>3.图书馆及图书资源</w:t>
      </w:r>
    </w:p>
    <w:p>
      <w:pPr>
        <w:adjustRightInd w:val="0"/>
        <w:snapToGrid w:val="0"/>
        <w:ind w:firstLine="1200" w:firstLineChars="500"/>
        <w:jc w:val="left"/>
        <w:rPr>
          <w:rFonts w:asciiTheme="minorEastAsia" w:hAnsiTheme="minorEastAsia" w:cstheme="minorEastAsia"/>
          <w:sz w:val="24"/>
          <w:lang w:val="zh-CN"/>
        </w:rPr>
      </w:pPr>
      <w:r>
        <w:rPr>
          <w:rFonts w:hint="eastAsia" w:asciiTheme="minorEastAsia" w:hAnsiTheme="minorEastAsia" w:cstheme="minorEastAsia"/>
          <w:sz w:val="24"/>
          <w:lang w:val="zh-CN"/>
        </w:rPr>
        <w:t>4.信息资源</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三、教学建设与改革</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（一）专业建设</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（二）课程建设</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（三）教材建设</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（四）实践教学</w:t>
      </w:r>
    </w:p>
    <w:p>
      <w:pPr>
        <w:adjustRightInd w:val="0"/>
        <w:snapToGrid w:val="0"/>
        <w:ind w:firstLine="1200" w:firstLineChars="500"/>
        <w:jc w:val="left"/>
        <w:rPr>
          <w:rFonts w:asciiTheme="minorEastAsia" w:hAnsiTheme="minorEastAsia" w:cstheme="minorEastAsia"/>
          <w:sz w:val="24"/>
          <w:lang w:val="zh-CN"/>
        </w:rPr>
      </w:pPr>
      <w:r>
        <w:rPr>
          <w:rFonts w:hint="eastAsia" w:asciiTheme="minorEastAsia" w:hAnsiTheme="minorEastAsia" w:cstheme="minorEastAsia"/>
          <w:sz w:val="24"/>
          <w:lang w:val="zh-CN"/>
        </w:rPr>
        <w:t>1.实验教学</w:t>
      </w:r>
    </w:p>
    <w:p>
      <w:pPr>
        <w:adjustRightInd w:val="0"/>
        <w:snapToGrid w:val="0"/>
        <w:ind w:firstLine="1200" w:firstLineChars="500"/>
        <w:jc w:val="left"/>
        <w:rPr>
          <w:rFonts w:asciiTheme="minorEastAsia" w:hAnsiTheme="minorEastAsia" w:cstheme="minorEastAsia"/>
          <w:sz w:val="24"/>
          <w:lang w:val="zh-CN"/>
        </w:rPr>
      </w:pPr>
      <w:r>
        <w:rPr>
          <w:rFonts w:hint="eastAsia" w:asciiTheme="minorEastAsia" w:hAnsiTheme="minorEastAsia" w:cstheme="minorEastAsia"/>
          <w:sz w:val="24"/>
          <w:lang w:val="zh-CN"/>
        </w:rPr>
        <w:t>2.本科生毕业设计（论文）</w:t>
      </w:r>
    </w:p>
    <w:p>
      <w:pPr>
        <w:adjustRightInd w:val="0"/>
        <w:snapToGrid w:val="0"/>
        <w:ind w:firstLine="1200" w:firstLineChars="500"/>
        <w:jc w:val="left"/>
        <w:rPr>
          <w:rFonts w:asciiTheme="minorEastAsia" w:hAnsiTheme="minorEastAsia" w:cstheme="minorEastAsia"/>
          <w:sz w:val="24"/>
          <w:lang w:val="zh-CN"/>
        </w:rPr>
      </w:pPr>
      <w:r>
        <w:rPr>
          <w:rFonts w:hint="eastAsia" w:asciiTheme="minorEastAsia" w:hAnsiTheme="minorEastAsia" w:cstheme="minorEastAsia"/>
          <w:sz w:val="24"/>
          <w:lang w:val="zh-CN"/>
        </w:rPr>
        <w:t>3.实习与教学实践基地</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（五）创新创业教育</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（六）教学改革</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四、专业培养能力</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（一）人才培养目标定位与特色</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（二）专业课程体系建设</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（三）立德树人落实机制</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（四）专任教师数量和结构</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（五）实践教学</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五、质量保障体系</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（一）校领导情况</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（二）教学管理与服务</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（三）学生管理与服务</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（四）质量监控</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六、学生学习效果</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（一）毕业情况</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（二）就业情况</w:t>
      </w:r>
    </w:p>
    <w:p>
      <w:pPr>
        <w:adjustRightInd w:val="0"/>
        <w:snapToGrid w:val="0"/>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（三）转专业与辅修情况</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七、特色发展</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八、存在问题及改进计划</w:t>
      </w:r>
    </w:p>
    <w:p>
      <w:pPr>
        <w:adjustRightInd w:val="0"/>
        <w:snapToGrid w:val="0"/>
        <w:jc w:val="left"/>
        <w:rPr>
          <w:rFonts w:ascii="黑体" w:hAnsi="黑体" w:eastAsia="黑体" w:cs="黑体"/>
          <w:b/>
          <w:bCs/>
          <w:sz w:val="24"/>
          <w:lang w:val="zh-CN"/>
        </w:rPr>
      </w:pPr>
      <w:r>
        <w:rPr>
          <w:rFonts w:hint="eastAsia" w:ascii="黑体" w:hAnsi="黑体" w:eastAsia="黑体" w:cs="黑体"/>
          <w:b/>
          <w:bCs/>
          <w:sz w:val="24"/>
          <w:lang w:val="zh-CN"/>
        </w:rPr>
        <w:t>附录</w:t>
      </w:r>
      <w:r>
        <w:rPr>
          <w:rFonts w:hint="eastAsia" w:ascii="黑体" w:hAnsi="黑体" w:eastAsia="黑体" w:cs="黑体"/>
          <w:b/>
          <w:bCs/>
          <w:sz w:val="24"/>
        </w:rPr>
        <w:t xml:space="preserve">  </w:t>
      </w:r>
      <w:r>
        <w:rPr>
          <w:rFonts w:hint="eastAsia" w:ascii="黑体" w:hAnsi="黑体" w:eastAsia="黑体" w:cs="黑体"/>
          <w:b/>
          <w:bCs/>
          <w:sz w:val="24"/>
          <w:lang w:val="zh-CN"/>
        </w:rPr>
        <w:t>本科教学质量报告支撑数据</w:t>
      </w:r>
    </w:p>
    <w:p>
      <w:pPr>
        <w:adjustRightInd w:val="0"/>
        <w:snapToGrid w:val="0"/>
        <w:jc w:val="center"/>
        <w:rPr>
          <w:rFonts w:ascii="黑体" w:hAnsi="宋体" w:eastAsia="黑体" w:cs="黑体"/>
          <w:sz w:val="32"/>
          <w:szCs w:val="32"/>
          <w:lang w:val="zh-CN"/>
        </w:rPr>
      </w:pPr>
    </w:p>
    <w:p>
      <w:pPr>
        <w:pStyle w:val="2"/>
        <w:widowControl/>
        <w:adjustRightInd w:val="0"/>
        <w:snapToGrid w:val="0"/>
        <w:spacing w:before="0" w:after="0" w:line="240" w:lineRule="auto"/>
        <w:jc w:val="center"/>
      </w:pPr>
      <w:r>
        <w:rPr>
          <w:rFonts w:hint="eastAsia" w:ascii="黑体" w:hAnsi="宋体" w:eastAsia="黑体" w:cs="黑体"/>
          <w:sz w:val="30"/>
          <w:szCs w:val="30"/>
        </w:rPr>
        <w:t>学校概况</w:t>
      </w:r>
    </w:p>
    <w:p>
      <w:pPr>
        <w:adjustRightInd w:val="0"/>
        <w:snapToGrid w:val="0"/>
        <w:jc w:val="left"/>
      </w:pP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新余学院坐落在新型工业城市——江西省新余市，是一所公办全日制普通本科院校、综合院校，举办者为江西省教育厅和新余市人民政府，于2010年开办本科。学校先后被确定为教育部产教融合创新基地首批试点高校、教育部产学合作专业综合改革项目实施高校、国家大学生创新创业训练计划联合基金项目实施高校、教育部卓越创新联盟首批成员单位、国家级语言文字规范化示范校、中国应用技术大学联盟成员单位、江西省首批转型发展试点高校、江西省高校首届十大文明校园，2018年，顺利通过教育部本科教学工作合格评估，办学水平获得了国家的“质量认证”。教学质量稳步提高，计算机科学与技术专业被省教育厅确定为江西省一流专业，学生在各级各类竞赛中成绩喜人；学生就业状况良好，就业质量稳步提升，毕业生就业率超过全省平均水平，被评为全省高校就业工作评估优秀单位。</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 xml:space="preserve">学校有本科专业38个，其中6个为新办专业。招生批次有提前批招生,本科批招生,第一批次招生,第二批次招生A,第二批次招生B。 </w:t>
      </w:r>
    </w:p>
    <w:p>
      <w:pPr>
        <w:adjustRightInd w:val="0"/>
        <w:snapToGrid w:val="0"/>
        <w:ind w:firstLine="480" w:firstLineChars="200"/>
        <w:jc w:val="left"/>
        <w:rPr>
          <w:rFonts w:asciiTheme="minorEastAsia" w:hAnsiTheme="minorEastAsia" w:cstheme="minorEastAsia"/>
          <w:sz w:val="24"/>
        </w:rPr>
      </w:pPr>
      <w:r>
        <w:rPr>
          <w:rFonts w:hint="eastAsia" w:asciiTheme="minorEastAsia" w:hAnsiTheme="minorEastAsia" w:cstheme="minorEastAsia"/>
          <w:sz w:val="24"/>
        </w:rPr>
        <w:t>学校设有13个二级学院（含继续教育学院及马克思主义学院）。有国家级教学改革试点专业、省级卓越工程师培养计划试点专业、省级示范专业和省级特色专业15个，省级专业综合改革试点项目3个，省级重点实验室1个，省级高层次人才12人。</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目前学校全日制在校生总规模为9,360人，本科生数占全日制在校生总数的比例为99.59%。全校教职工785人，其中专任教师471人。学校有1个校区，有党政单位18个、教学科研单位19个。</w:t>
      </w:r>
    </w:p>
    <w:p>
      <w:pPr>
        <w:adjustRightInd w:val="0"/>
        <w:snapToGrid w:val="0"/>
        <w:jc w:val="left"/>
        <w:rPr>
          <w:sz w:val="28"/>
          <w:szCs w:val="28"/>
        </w:rPr>
      </w:pPr>
      <w:r>
        <w:rPr>
          <w:rFonts w:ascii="Calibri" w:hAnsi="Calibri" w:eastAsia="宋体" w:cs="Times New Roman"/>
          <w:sz w:val="28"/>
          <w:szCs w:val="28"/>
        </w:rPr>
        <w:br w:type="page"/>
      </w:r>
    </w:p>
    <w:p>
      <w:pPr>
        <w:pStyle w:val="2"/>
        <w:widowControl/>
        <w:adjustRightInd w:val="0"/>
        <w:snapToGrid w:val="0"/>
        <w:spacing w:before="0" w:after="0" w:line="240" w:lineRule="auto"/>
        <w:jc w:val="left"/>
        <w:rPr>
          <w:sz w:val="24"/>
          <w:szCs w:val="24"/>
        </w:rPr>
      </w:pPr>
      <w:r>
        <w:rPr>
          <w:rFonts w:hint="eastAsia" w:ascii="黑体" w:hAnsi="宋体" w:eastAsia="黑体" w:cs="黑体"/>
          <w:sz w:val="30"/>
          <w:szCs w:val="30"/>
        </w:rPr>
        <w:t>一、本科教育基本情况</w:t>
      </w:r>
    </w:p>
    <w:p>
      <w:pPr>
        <w:pStyle w:val="3"/>
        <w:widowControl/>
        <w:adjustRightInd w:val="0"/>
        <w:snapToGrid w:val="0"/>
        <w:spacing w:before="0" w:after="0" w:line="240" w:lineRule="auto"/>
        <w:ind w:firstLine="280" w:firstLineChars="100"/>
        <w:jc w:val="left"/>
        <w:rPr>
          <w:b w:val="0"/>
          <w:bCs/>
          <w:sz w:val="28"/>
          <w:szCs w:val="28"/>
        </w:rPr>
      </w:pPr>
      <w:r>
        <w:rPr>
          <w:rFonts w:hint="eastAsia" w:ascii="黑体" w:hAnsi="宋体" w:eastAsia="黑体" w:cs="黑体"/>
          <w:b w:val="0"/>
          <w:bCs/>
          <w:sz w:val="28"/>
          <w:szCs w:val="28"/>
        </w:rPr>
        <w:t>（一）人才培养目标</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学校的定位与发展目标是：</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发展目标定位：特色鲜明的高水平应用型本科院校。</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办学类型定位：应用型本科院校。</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办学层次定位：以全日制普通本科教育为主，以专业硕士研究生教育为辅。</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服务面向定位：立足新余，服务江西，辐射全国，为区域经济社会发展提供人才保障和智力支撑。</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学科专业定位：以工学为主导、文理为基础、新能源类专业为特色、多学科协调发展的学科专业体系。</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人才培养目标定位：培养品德素养好、应用能力强、就业有实力、发展有后劲的高素质应用型人才。</w:t>
      </w:r>
    </w:p>
    <w:p>
      <w:pPr>
        <w:pStyle w:val="3"/>
        <w:widowControl/>
        <w:adjustRightInd w:val="0"/>
        <w:snapToGrid w:val="0"/>
        <w:spacing w:before="0" w:after="0" w:line="240" w:lineRule="auto"/>
        <w:ind w:firstLine="280" w:firstLineChars="100"/>
        <w:jc w:val="left"/>
        <w:rPr>
          <w:b w:val="0"/>
          <w:bCs/>
          <w:sz w:val="28"/>
          <w:szCs w:val="28"/>
        </w:rPr>
      </w:pPr>
      <w:r>
        <w:rPr>
          <w:rFonts w:hint="eastAsia" w:ascii="黑体" w:hAnsi="宋体" w:eastAsia="黑体" w:cs="黑体"/>
          <w:b w:val="0"/>
          <w:bCs/>
          <w:sz w:val="28"/>
          <w:szCs w:val="28"/>
        </w:rPr>
        <w:t>（二）学科专业设置情况</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为提高本科人才培养质量，学校不断优化学科专业布局。2018-2019学年，学校有36个本科专业招生，涵盖工学、文学、理学、艺术学、教育学、管理学、医学、经济学八大学科门类，逐步形成了以工学为主导、文理为基础、新能源类专业为特色、多学科协调发展的学科专业体系。</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学校现有本科专业38个，其中工学专业17个占44.74%、理学专业2个占5.26%、文学专业4个占10.53%、经济学专业1个占2.63%、管理学专业5个占13.16%、医学专业2个占5.26%、教育学专业3个占7.89%、艺术学专业4个占10.53%。</w:t>
      </w:r>
    </w:p>
    <w:p>
      <w:pPr>
        <w:adjustRightInd w:val="0"/>
        <w:snapToGrid w:val="0"/>
        <w:ind w:firstLine="480" w:firstLineChars="200"/>
        <w:jc w:val="left"/>
        <w:rPr>
          <w:rFonts w:ascii="宋体" w:hAnsi="宋体" w:eastAsia="宋体" w:cs="宋体"/>
          <w:sz w:val="24"/>
        </w:rPr>
      </w:pPr>
    </w:p>
    <w:p>
      <w:pPr>
        <w:adjustRightInd w:val="0"/>
        <w:snapToGrid w:val="0"/>
        <w:jc w:val="center"/>
      </w:pPr>
      <w:r>
        <w:rPr>
          <w:rFonts w:ascii="Calibri" w:hAnsi="Calibri" w:eastAsia="宋体" w:cs="Times New Roman"/>
          <w:szCs w:val="22"/>
        </w:rPr>
        <w:drawing>
          <wp:inline distT="0" distB="0" distL="114300" distR="114300">
            <wp:extent cx="4819650" cy="2886075"/>
            <wp:effectExtent l="0" t="0" r="0" b="9525"/>
            <wp:docPr id="3" name="图片 1"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logo100.png"/>
                    <pic:cNvPicPr>
                      <a:picLocks noChangeAspect="1"/>
                    </pic:cNvPicPr>
                  </pic:nvPicPr>
                  <pic:blipFill>
                    <a:blip r:embed="rId5" cstate="print"/>
                    <a:stretch>
                      <a:fillRect/>
                    </a:stretch>
                  </pic:blipFill>
                  <pic:spPr>
                    <a:xfrm>
                      <a:off x="0" y="0"/>
                      <a:ext cx="4819650" cy="2886075"/>
                    </a:xfrm>
                    <a:prstGeom prst="rect">
                      <a:avLst/>
                    </a:prstGeom>
                    <a:noFill/>
                    <a:ln>
                      <a:noFill/>
                    </a:ln>
                  </pic:spPr>
                </pic:pic>
              </a:graphicData>
            </a:graphic>
          </wp:inline>
        </w:drawing>
      </w:r>
    </w:p>
    <w:p>
      <w:pPr>
        <w:adjustRightInd w:val="0"/>
        <w:snapToGrid w:val="0"/>
        <w:jc w:val="center"/>
      </w:pPr>
      <w:r>
        <w:rPr>
          <w:rFonts w:hint="eastAsia" w:ascii="宋体" w:hAnsi="宋体" w:eastAsia="宋体" w:cs="宋体"/>
          <w:sz w:val="24"/>
        </w:rPr>
        <w:t>图1 各学科专业占比情况（%）</w:t>
      </w:r>
    </w:p>
    <w:p>
      <w:pPr>
        <w:adjustRightInd w:val="0"/>
        <w:snapToGrid w:val="0"/>
        <w:jc w:val="left"/>
      </w:pPr>
    </w:p>
    <w:p>
      <w:pPr>
        <w:adjustRightInd w:val="0"/>
        <w:snapToGrid w:val="0"/>
        <w:ind w:firstLine="280" w:firstLineChars="100"/>
        <w:jc w:val="left"/>
      </w:pPr>
      <w:r>
        <w:rPr>
          <w:rFonts w:hint="eastAsia" w:ascii="黑体" w:hAnsi="宋体" w:eastAsia="黑体" w:cs="黑体"/>
          <w:sz w:val="28"/>
          <w:szCs w:val="28"/>
        </w:rPr>
        <w:t>（三）在校生规模</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2018-2019学年本科在校生7,854人（含一年级2,518人，二年级2,433人，三年级1,531人，四年级1,372人，其他0人）。目前学校全日制在校生总规模为9,360人，本科生数占全日制在校生总数的比例为99.59%。各类在校生的人数情况如表1所示（按时点统计）。</w:t>
      </w:r>
    </w:p>
    <w:p>
      <w:pPr>
        <w:adjustRightInd w:val="0"/>
        <w:snapToGrid w:val="0"/>
        <w:ind w:firstLine="480" w:firstLineChars="200"/>
        <w:jc w:val="left"/>
        <w:rPr>
          <w:rFonts w:ascii="宋体" w:hAnsi="宋体" w:eastAsia="宋体" w:cs="宋体"/>
          <w:sz w:val="24"/>
        </w:rPr>
      </w:pPr>
    </w:p>
    <w:p>
      <w:pPr>
        <w:adjustRightInd w:val="0"/>
        <w:snapToGrid w:val="0"/>
        <w:ind w:firstLine="480" w:firstLineChars="200"/>
        <w:jc w:val="left"/>
        <w:rPr>
          <w:rFonts w:ascii="宋体" w:hAnsi="宋体" w:eastAsia="宋体" w:cs="宋体"/>
          <w:sz w:val="24"/>
        </w:rPr>
      </w:pPr>
    </w:p>
    <w:p>
      <w:pPr>
        <w:adjustRightInd w:val="0"/>
        <w:snapToGrid w:val="0"/>
        <w:jc w:val="center"/>
        <w:rPr>
          <w:rFonts w:ascii="Calibri" w:hAnsi="Calibri"/>
          <w:b/>
          <w:bCs/>
          <w:sz w:val="24"/>
        </w:rPr>
      </w:pPr>
      <w:r>
        <w:rPr>
          <w:rFonts w:hint="eastAsia" w:ascii="宋体" w:hAnsi="宋体" w:eastAsia="宋体" w:cs="宋体"/>
          <w:b/>
          <w:bCs/>
          <w:sz w:val="24"/>
        </w:rPr>
        <w:t>表1 各类学生人数一览表</w:t>
      </w:r>
    </w:p>
    <w:tbl>
      <w:tblPr>
        <w:tblStyle w:val="10"/>
        <w:tblW w:w="9093" w:type="dxa"/>
        <w:jc w:val="center"/>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1062"/>
        <w:gridCol w:w="503"/>
        <w:gridCol w:w="600"/>
        <w:gridCol w:w="514"/>
        <w:gridCol w:w="547"/>
        <w:gridCol w:w="567"/>
        <w:gridCol w:w="541"/>
        <w:gridCol w:w="437"/>
        <w:gridCol w:w="802"/>
        <w:gridCol w:w="644"/>
        <w:gridCol w:w="782"/>
        <w:gridCol w:w="546"/>
        <w:gridCol w:w="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普通本科生数</w:t>
            </w:r>
          </w:p>
        </w:tc>
        <w:tc>
          <w:tcPr>
            <w:tcW w:w="1062"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普通高职(含专科)生数</w:t>
            </w:r>
          </w:p>
        </w:tc>
        <w:tc>
          <w:tcPr>
            <w:tcW w:w="1103" w:type="dxa"/>
            <w:gridSpan w:val="2"/>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硕士研究生数</w:t>
            </w:r>
          </w:p>
        </w:tc>
        <w:tc>
          <w:tcPr>
            <w:tcW w:w="1061" w:type="dxa"/>
            <w:gridSpan w:val="2"/>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博士研究生数</w:t>
            </w:r>
          </w:p>
        </w:tc>
        <w:tc>
          <w:tcPr>
            <w:tcW w:w="567"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留学生数</w:t>
            </w:r>
          </w:p>
        </w:tc>
        <w:tc>
          <w:tcPr>
            <w:tcW w:w="541"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普通预科生数</w:t>
            </w:r>
          </w:p>
        </w:tc>
        <w:tc>
          <w:tcPr>
            <w:tcW w:w="437"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进修生数</w:t>
            </w:r>
          </w:p>
        </w:tc>
        <w:tc>
          <w:tcPr>
            <w:tcW w:w="802"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成人脱产学生数</w:t>
            </w:r>
          </w:p>
        </w:tc>
        <w:tc>
          <w:tcPr>
            <w:tcW w:w="644"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夜大（业余）学生数</w:t>
            </w:r>
          </w:p>
        </w:tc>
        <w:tc>
          <w:tcPr>
            <w:tcW w:w="782"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函授学生数</w:t>
            </w:r>
          </w:p>
        </w:tc>
        <w:tc>
          <w:tcPr>
            <w:tcW w:w="546"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网络学生数</w:t>
            </w:r>
          </w:p>
        </w:tc>
        <w:tc>
          <w:tcPr>
            <w:tcW w:w="547"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自考学生数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1062"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50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全日制</w:t>
            </w:r>
          </w:p>
        </w:tc>
        <w:tc>
          <w:tcPr>
            <w:tcW w:w="60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非全日制</w:t>
            </w:r>
          </w:p>
        </w:tc>
        <w:tc>
          <w:tcPr>
            <w:tcW w:w="514"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全日制</w:t>
            </w:r>
          </w:p>
        </w:tc>
        <w:tc>
          <w:tcPr>
            <w:tcW w:w="54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b/>
                <w:szCs w:val="21"/>
              </w:rPr>
              <w:t>非全日制</w:t>
            </w:r>
          </w:p>
        </w:tc>
        <w:tc>
          <w:tcPr>
            <w:tcW w:w="567"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541"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437"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802"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644"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782"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546"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c>
          <w:tcPr>
            <w:tcW w:w="547"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9,322</w:t>
            </w:r>
          </w:p>
        </w:tc>
        <w:tc>
          <w:tcPr>
            <w:tcW w:w="106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50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60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514"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54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56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38</w:t>
            </w:r>
          </w:p>
        </w:tc>
        <w:tc>
          <w:tcPr>
            <w:tcW w:w="54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43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80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644"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Cs w:val="21"/>
              </w:rPr>
            </w:pPr>
            <w:r>
              <w:rPr>
                <w:rFonts w:hint="eastAsia" w:ascii="宋体" w:hAnsi="宋体" w:eastAsia="宋体" w:cs="宋体"/>
                <w:szCs w:val="21"/>
              </w:rPr>
              <w:t>230</w:t>
            </w:r>
          </w:p>
        </w:tc>
        <w:tc>
          <w:tcPr>
            <w:tcW w:w="78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Cs w:val="21"/>
              </w:rPr>
            </w:pPr>
            <w:r>
              <w:rPr>
                <w:rFonts w:hint="eastAsia" w:ascii="宋体" w:hAnsi="宋体" w:eastAsia="宋体" w:cs="宋体"/>
                <w:szCs w:val="21"/>
              </w:rPr>
              <w:t>5,576</w:t>
            </w:r>
          </w:p>
        </w:tc>
        <w:tc>
          <w:tcPr>
            <w:tcW w:w="54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c>
          <w:tcPr>
            <w:tcW w:w="54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Cs w:val="21"/>
              </w:rPr>
            </w:pPr>
            <w:r>
              <w:rPr>
                <w:rFonts w:hint="eastAsia" w:ascii="宋体" w:hAnsi="宋体" w:eastAsia="宋体" w:cs="宋体"/>
                <w:szCs w:val="21"/>
              </w:rPr>
              <w:t>0</w:t>
            </w:r>
          </w:p>
        </w:tc>
      </w:tr>
    </w:tbl>
    <w:p>
      <w:pPr>
        <w:adjustRightInd w:val="0"/>
        <w:snapToGrid w:val="0"/>
        <w:outlineLvl w:val="1"/>
        <w:rPr>
          <w:rFonts w:ascii="黑体" w:hAnsi="宋体" w:eastAsia="黑体" w:cs="黑体"/>
          <w:sz w:val="28"/>
          <w:szCs w:val="28"/>
        </w:rPr>
      </w:pPr>
      <w:r>
        <w:rPr>
          <w:rFonts w:hint="eastAsia" w:ascii="黑体" w:hAnsi="宋体" w:eastAsia="黑体" w:cs="黑体"/>
          <w:sz w:val="28"/>
          <w:szCs w:val="28"/>
        </w:rPr>
        <w:t xml:space="preserve">   </w:t>
      </w:r>
    </w:p>
    <w:p>
      <w:pPr>
        <w:adjustRightInd w:val="0"/>
        <w:snapToGrid w:val="0"/>
        <w:ind w:firstLine="280" w:firstLineChars="100"/>
        <w:outlineLvl w:val="1"/>
        <w:rPr>
          <w:sz w:val="24"/>
        </w:rPr>
      </w:pPr>
      <w:r>
        <w:rPr>
          <w:rFonts w:hint="eastAsia" w:ascii="黑体" w:hAnsi="宋体" w:eastAsia="黑体" w:cs="黑体"/>
          <w:sz w:val="28"/>
          <w:szCs w:val="28"/>
        </w:rPr>
        <w:t>（四）本科生生源质量</w:t>
      </w:r>
    </w:p>
    <w:p>
      <w:pPr>
        <w:adjustRightInd w:val="0"/>
        <w:snapToGrid w:val="0"/>
        <w:ind w:firstLine="480" w:firstLineChars="200"/>
        <w:jc w:val="left"/>
        <w:rPr>
          <w:sz w:val="24"/>
        </w:rPr>
      </w:pPr>
      <w:r>
        <w:rPr>
          <w:rFonts w:hint="eastAsia" w:ascii="宋体" w:hAnsi="宋体" w:eastAsia="宋体" w:cs="宋体"/>
          <w:sz w:val="24"/>
        </w:rPr>
        <w:t>2019年，学校计划招生2,934人，实际录取考生2,934人，实际报到2,833人。实际录取率为100%，实际报到率为96.56%。招收本省学生2,179人。</w:t>
      </w:r>
    </w:p>
    <w:p>
      <w:pPr>
        <w:adjustRightInd w:val="0"/>
        <w:snapToGrid w:val="0"/>
        <w:jc w:val="left"/>
        <w:rPr>
          <w:rFonts w:ascii="宋体" w:hAnsi="宋体" w:eastAsia="宋体" w:cs="宋体"/>
          <w:sz w:val="24"/>
        </w:rPr>
      </w:pPr>
      <w:r>
        <w:rPr>
          <w:rFonts w:ascii="Calibri" w:hAnsi="Calibri" w:eastAsia="宋体" w:cs="Times New Roman"/>
          <w:sz w:val="24"/>
        </w:rPr>
        <w:tab/>
      </w:r>
      <w:r>
        <w:rPr>
          <w:rFonts w:hint="eastAsia" w:ascii="宋体" w:hAnsi="宋体" w:eastAsia="宋体" w:cs="宋体"/>
          <w:sz w:val="24"/>
        </w:rPr>
        <w:t>学校面向全国</w:t>
      </w:r>
      <w:r>
        <w:rPr>
          <w:rFonts w:ascii="宋体" w:hAnsi="宋体" w:eastAsia="宋体" w:cs="宋体"/>
          <w:sz w:val="24"/>
        </w:rPr>
        <w:t>28</w:t>
      </w:r>
      <w:r>
        <w:rPr>
          <w:rFonts w:hint="eastAsia" w:ascii="宋体" w:hAnsi="宋体" w:eastAsia="宋体" w:cs="宋体"/>
          <w:sz w:val="24"/>
        </w:rPr>
        <w:t>个省份招生，其中文、理科招生省份均为</w:t>
      </w:r>
      <w:r>
        <w:rPr>
          <w:rFonts w:ascii="宋体" w:hAnsi="宋体" w:eastAsia="宋体" w:cs="宋体"/>
          <w:sz w:val="24"/>
        </w:rPr>
        <w:t>26</w:t>
      </w:r>
      <w:r>
        <w:rPr>
          <w:rFonts w:hint="eastAsia" w:ascii="宋体" w:hAnsi="宋体" w:eastAsia="宋体" w:cs="宋体"/>
          <w:sz w:val="24"/>
        </w:rPr>
        <w:t>个，不分文理招生省份</w:t>
      </w:r>
      <w:r>
        <w:rPr>
          <w:rFonts w:ascii="宋体" w:hAnsi="宋体" w:eastAsia="宋体" w:cs="宋体"/>
          <w:sz w:val="24"/>
        </w:rPr>
        <w:t>2</w:t>
      </w:r>
      <w:r>
        <w:rPr>
          <w:rFonts w:hint="eastAsia" w:ascii="宋体" w:hAnsi="宋体" w:eastAsia="宋体" w:cs="宋体"/>
          <w:sz w:val="24"/>
        </w:rPr>
        <w:t>个。</w:t>
      </w:r>
    </w:p>
    <w:p>
      <w:pPr>
        <w:adjustRightInd w:val="0"/>
        <w:snapToGrid w:val="0"/>
        <w:jc w:val="left"/>
        <w:rPr>
          <w:sz w:val="24"/>
        </w:rPr>
      </w:pPr>
      <w:r>
        <w:rPr>
          <w:rFonts w:ascii="Calibri" w:hAnsi="Calibri" w:eastAsia="宋体" w:cs="Times New Roman"/>
          <w:sz w:val="24"/>
        </w:rPr>
        <w:tab/>
      </w:r>
      <w:r>
        <w:rPr>
          <w:rFonts w:hint="eastAsia" w:ascii="宋体" w:hAnsi="宋体" w:eastAsia="宋体" w:cs="宋体"/>
          <w:sz w:val="24"/>
        </w:rPr>
        <w:t>生源情况详见下表。</w:t>
      </w:r>
    </w:p>
    <w:p>
      <w:pPr>
        <w:adjustRightInd w:val="0"/>
        <w:snapToGrid w:val="0"/>
        <w:jc w:val="center"/>
        <w:rPr>
          <w:b/>
          <w:bCs/>
          <w:sz w:val="24"/>
        </w:rPr>
      </w:pPr>
      <w:r>
        <w:rPr>
          <w:rFonts w:hint="eastAsia" w:ascii="宋体" w:hAnsi="宋体" w:eastAsia="宋体" w:cs="宋体"/>
          <w:b/>
          <w:bCs/>
          <w:sz w:val="24"/>
        </w:rPr>
        <w:t>表2  生源情况</w:t>
      </w:r>
    </w:p>
    <w:tbl>
      <w:tblPr>
        <w:tblStyle w:val="10"/>
        <w:tblW w:w="94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271"/>
        <w:gridCol w:w="729"/>
        <w:gridCol w:w="728"/>
        <w:gridCol w:w="750"/>
        <w:gridCol w:w="783"/>
        <w:gridCol w:w="771"/>
        <w:gridCol w:w="771"/>
        <w:gridCol w:w="890"/>
        <w:gridCol w:w="868"/>
        <w:gridCol w:w="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省份</w:t>
            </w:r>
          </w:p>
        </w:tc>
        <w:tc>
          <w:tcPr>
            <w:tcW w:w="1271" w:type="dxa"/>
            <w:vMerge w:val="restart"/>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批次</w:t>
            </w:r>
          </w:p>
        </w:tc>
        <w:tc>
          <w:tcPr>
            <w:tcW w:w="2207" w:type="dxa"/>
            <w:gridSpan w:val="3"/>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录取数</w:t>
            </w:r>
          </w:p>
        </w:tc>
        <w:tc>
          <w:tcPr>
            <w:tcW w:w="2325" w:type="dxa"/>
            <w:gridSpan w:val="3"/>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批次最低控制线（分）</w:t>
            </w:r>
          </w:p>
        </w:tc>
        <w:tc>
          <w:tcPr>
            <w:tcW w:w="2597" w:type="dxa"/>
            <w:gridSpan w:val="3"/>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当年录取平均分与批次最低控制线的差值（分）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1271" w:type="dxa"/>
            <w:vMerge w:val="continue"/>
            <w:tcBorders>
              <w:top w:val="single" w:color="auto" w:sz="4" w:space="0"/>
              <w:left w:val="nil"/>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文科</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理科</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不分文理</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文科</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理科</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不分文理</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文科</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理科</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不分文理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安徽省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19</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26</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504</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426</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29.05</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55.04</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福建省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13</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464</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393</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47.49</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65.72</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甘肃省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25</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32</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400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366</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94.31</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83.59</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广东省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本科批招生</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455</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390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61.96</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57.61</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广西壮族自治区</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第二批次招生A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388</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347</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82.81</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82.17</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贵州省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11</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11</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453</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369</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47.92</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57.46</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海南省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本科批招生</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593</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539</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34.22</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33.92</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河北省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11</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17</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461</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379</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62.38</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103.99</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河南省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第二批次招生A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15</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17</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447</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385</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58.11</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94.35</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黑龙江省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424</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372</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43.36</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64.59</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湖北省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15</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445</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388</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55.82</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64.11</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湖南省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14</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17</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523</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448</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10.44</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20.89</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吉林省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372</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350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95.44</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93.24</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江苏省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14</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24</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277</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307</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39.29</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21.92</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江西省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539</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1,324</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502</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449</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28.3</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32.25</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辽宁省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本科批招生</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482</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369</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50.91</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81.1</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内蒙古自治区</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10</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436</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352</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52.43</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62.8</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宁夏回族自治区</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10</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455</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381</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60.33</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53.26</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青海省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444</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376</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11.59</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16.74</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山东省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本科批招生</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13</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503</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443</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21.83</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30.71</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山西省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招生B</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481</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432</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15.78</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1.75</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陕西省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400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363</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97.1</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89.94</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上海市</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本科批招生</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403</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四川省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13</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25</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472</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459</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38.19</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53.71</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新疆维吾尔自治区</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381</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326</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97.1</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99.49</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云南省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15</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20</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480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435</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40.43</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45.95</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浙江省</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本科批招生</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19</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496</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重庆市</w:t>
            </w:r>
          </w:p>
        </w:tc>
        <w:tc>
          <w:tcPr>
            <w:tcW w:w="12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第二批次</w:t>
            </w:r>
          </w:p>
          <w:p>
            <w:pPr>
              <w:adjustRightInd w:val="0"/>
              <w:snapToGrid w:val="0"/>
              <w:jc w:val="center"/>
              <w:rPr>
                <w:rFonts w:ascii="Calibri" w:hAnsi="Calibri" w:eastAsia="宋体" w:cs="宋体"/>
                <w:sz w:val="24"/>
              </w:rPr>
            </w:pPr>
            <w:r>
              <w:rPr>
                <w:rFonts w:hint="eastAsia" w:ascii="宋体" w:hAnsi="宋体" w:eastAsia="宋体" w:cs="宋体"/>
                <w:sz w:val="24"/>
              </w:rPr>
              <w:t>招生A</w:t>
            </w:r>
          </w:p>
        </w:tc>
        <w:tc>
          <w:tcPr>
            <w:tcW w:w="72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w:t>
            </w:r>
          </w:p>
        </w:tc>
        <w:tc>
          <w:tcPr>
            <w:tcW w:w="72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w:t>
            </w:r>
          </w:p>
        </w:tc>
        <w:tc>
          <w:tcPr>
            <w:tcW w:w="75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78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458</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435</w:t>
            </w:r>
          </w:p>
        </w:tc>
        <w:tc>
          <w:tcPr>
            <w:tcW w:w="77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890"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58.2</w:t>
            </w:r>
          </w:p>
        </w:tc>
        <w:tc>
          <w:tcPr>
            <w:tcW w:w="86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52.61</w:t>
            </w:r>
          </w:p>
        </w:tc>
        <w:tc>
          <w:tcPr>
            <w:tcW w:w="839"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bl>
    <w:p>
      <w:pPr>
        <w:adjustRightInd w:val="0"/>
        <w:snapToGrid w:val="0"/>
        <w:ind w:firstLine="480" w:firstLineChars="200"/>
        <w:rPr>
          <w:rFonts w:ascii="宋体" w:hAnsi="宋体" w:eastAsia="宋体" w:cs="宋体"/>
          <w:sz w:val="24"/>
        </w:rPr>
      </w:pPr>
      <w:r>
        <w:rPr>
          <w:rFonts w:hint="eastAsia" w:ascii="宋体" w:hAnsi="宋体" w:eastAsia="宋体" w:cs="宋体"/>
          <w:sz w:val="24"/>
        </w:rPr>
        <w:t>学校现有36个专业进行招生。目前有国外全日制本科生在校38人，无港澳台侨全日制本科生。</w:t>
      </w:r>
    </w:p>
    <w:p>
      <w:pPr>
        <w:adjustRightInd w:val="0"/>
        <w:snapToGrid w:val="0"/>
        <w:rPr>
          <w:rFonts w:ascii="黑体" w:hAnsi="宋体" w:eastAsia="黑体" w:cs="黑体"/>
          <w:sz w:val="28"/>
          <w:szCs w:val="28"/>
        </w:rPr>
      </w:pPr>
    </w:p>
    <w:p>
      <w:pPr>
        <w:adjustRightInd w:val="0"/>
        <w:snapToGrid w:val="0"/>
        <w:rPr>
          <w:rFonts w:ascii="黑体" w:hAnsi="宋体" w:eastAsia="黑体" w:cs="黑体"/>
          <w:b/>
          <w:bCs/>
          <w:sz w:val="30"/>
          <w:szCs w:val="30"/>
        </w:rPr>
      </w:pPr>
      <w:r>
        <w:rPr>
          <w:rFonts w:hint="eastAsia" w:ascii="黑体" w:hAnsi="宋体" w:eastAsia="黑体" w:cs="黑体"/>
          <w:b/>
          <w:bCs/>
          <w:sz w:val="30"/>
          <w:szCs w:val="30"/>
        </w:rPr>
        <w:t>二、师资与教学条件</w:t>
      </w:r>
    </w:p>
    <w:p>
      <w:pPr>
        <w:adjustRightInd w:val="0"/>
        <w:snapToGrid w:val="0"/>
        <w:ind w:firstLine="280" w:firstLineChars="100"/>
        <w:rPr>
          <w:rFonts w:ascii="黑体" w:hAnsi="宋体" w:eastAsia="黑体" w:cs="黑体"/>
          <w:sz w:val="28"/>
          <w:szCs w:val="28"/>
        </w:rPr>
      </w:pPr>
      <w:r>
        <w:rPr>
          <w:rFonts w:hint="eastAsia" w:ascii="黑体" w:hAnsi="宋体" w:eastAsia="黑体" w:cs="黑体"/>
          <w:sz w:val="28"/>
          <w:szCs w:val="28"/>
        </w:rPr>
        <w:t>（一）师资队伍</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我校大力实施“人才强校”战略，坚持引进和培养并重，逐步建立了一支数量适当、结构合理、素质较高的专兼职教师队伍。实施青年教师“博士工程”，鼓励35岁以下青年教师在职攻读博士学位，提高学历层次和学术水平；2018年出台了100万元待遇引进优秀博士研究生的政策，本校攻读博士学位的教师毕业返校后享受引进博士同等待遇。有各类高层次人才共102人，其中省级高层次人才8人，省“青年科学家培训计划”入选者1人，省级教学名师4人，井冈学者1人，省高等学校中青年骨干教师16人，省级模范教师1人，省高校中青年学科带头人1人。专家引领、骨干支撑、多元结构、持续优化的师资队伍正在形成。</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学校现有专任教师471人、外聘教师50人，折合教师总数为496人，外聘教师与专任教师人数之比为0.11:1。</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按折合学生数9,986.6计算，生师比为20.13：1。</w:t>
      </w:r>
    </w:p>
    <w:p>
      <w:pPr>
        <w:adjustRightInd w:val="0"/>
        <w:snapToGrid w:val="0"/>
        <w:ind w:firstLine="480" w:firstLineChars="200"/>
        <w:jc w:val="left"/>
        <w:rPr>
          <w:rFonts w:ascii="宋体" w:hAnsi="宋体" w:eastAsia="宋体" w:cs="宋体"/>
        </w:rPr>
      </w:pPr>
      <w:r>
        <w:rPr>
          <w:rFonts w:hint="eastAsia" w:ascii="宋体" w:hAnsi="宋体" w:eastAsia="宋体" w:cs="宋体"/>
          <w:sz w:val="24"/>
        </w:rPr>
        <w:t>专任教师中，“双师型”教师156人，占专任教师的比例为33.12%；具有高级职称的专任教师171人，占专任教师的比例为36.31%；具有研究生学位（硕士和博士）的专任教师365人，占专任教师的比例为77.49%。</w:t>
      </w:r>
    </w:p>
    <w:p>
      <w:pPr>
        <w:adjustRightInd w:val="0"/>
        <w:snapToGrid w:val="0"/>
        <w:jc w:val="left"/>
        <w:rPr>
          <w:rFonts w:ascii="宋体" w:hAnsi="宋体" w:eastAsia="宋体" w:cs="宋体"/>
          <w:sz w:val="24"/>
        </w:rPr>
      </w:pPr>
      <w:r>
        <w:rPr>
          <w:rFonts w:ascii="Calibri" w:hAnsi="Calibri" w:eastAsia="宋体" w:cs="Times New Roman"/>
          <w:sz w:val="24"/>
        </w:rPr>
        <w:tab/>
      </w:r>
      <w:r>
        <w:rPr>
          <w:rFonts w:hint="eastAsia" w:ascii="Calibri" w:hAnsi="Calibri" w:eastAsia="宋体" w:cs="Times New Roman"/>
          <w:sz w:val="24"/>
        </w:rPr>
        <w:t xml:space="preserve"> </w:t>
      </w:r>
      <w:r>
        <w:rPr>
          <w:rFonts w:hint="eastAsia" w:ascii="宋体" w:hAnsi="宋体" w:eastAsia="宋体" w:cs="宋体"/>
          <w:sz w:val="24"/>
        </w:rPr>
        <w:t>近两学年教师总数详见表3。</w:t>
      </w:r>
    </w:p>
    <w:p>
      <w:pPr>
        <w:adjustRightInd w:val="0"/>
        <w:snapToGrid w:val="0"/>
        <w:jc w:val="center"/>
        <w:rPr>
          <w:sz w:val="24"/>
        </w:rPr>
      </w:pPr>
      <w:r>
        <w:rPr>
          <w:rFonts w:ascii="Calibri" w:hAnsi="Calibri" w:eastAsia="宋体" w:cs="Times New Roman"/>
          <w:sz w:val="24"/>
        </w:rPr>
        <w:tab/>
      </w:r>
      <w:r>
        <w:rPr>
          <w:rFonts w:hint="eastAsia" w:ascii="宋体" w:hAnsi="宋体" w:eastAsia="宋体" w:cs="宋体"/>
          <w:b/>
          <w:bCs/>
          <w:sz w:val="24"/>
        </w:rPr>
        <w:t>表3 近两学年教师总数</w:t>
      </w:r>
    </w:p>
    <w:tbl>
      <w:tblPr>
        <w:tblStyle w:val="10"/>
        <w:tblW w:w="92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062"/>
        <w:gridCol w:w="2062"/>
        <w:gridCol w:w="2403"/>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p>
        </w:tc>
        <w:tc>
          <w:tcPr>
            <w:tcW w:w="206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专任教师数</w:t>
            </w:r>
          </w:p>
        </w:tc>
        <w:tc>
          <w:tcPr>
            <w:tcW w:w="206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外聘教师数</w:t>
            </w:r>
          </w:p>
        </w:tc>
        <w:tc>
          <w:tcPr>
            <w:tcW w:w="240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折合教师总数</w:t>
            </w:r>
          </w:p>
        </w:tc>
        <w:tc>
          <w:tcPr>
            <w:tcW w:w="137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生师比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本学年</w:t>
            </w:r>
          </w:p>
        </w:tc>
        <w:tc>
          <w:tcPr>
            <w:tcW w:w="206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471</w:t>
            </w:r>
          </w:p>
        </w:tc>
        <w:tc>
          <w:tcPr>
            <w:tcW w:w="206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50</w:t>
            </w:r>
          </w:p>
        </w:tc>
        <w:tc>
          <w:tcPr>
            <w:tcW w:w="240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496</w:t>
            </w:r>
          </w:p>
        </w:tc>
        <w:tc>
          <w:tcPr>
            <w:tcW w:w="137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上学年</w:t>
            </w:r>
          </w:p>
        </w:tc>
        <w:tc>
          <w:tcPr>
            <w:tcW w:w="206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492</w:t>
            </w:r>
          </w:p>
        </w:tc>
        <w:tc>
          <w:tcPr>
            <w:tcW w:w="2062"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80</w:t>
            </w:r>
          </w:p>
        </w:tc>
        <w:tc>
          <w:tcPr>
            <w:tcW w:w="2403"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532</w:t>
            </w:r>
          </w:p>
        </w:tc>
        <w:tc>
          <w:tcPr>
            <w:tcW w:w="137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20.16</w:t>
            </w:r>
          </w:p>
        </w:tc>
      </w:tr>
    </w:tbl>
    <w:p>
      <w:pPr>
        <w:adjustRightInd w:val="0"/>
        <w:snapToGrid w:val="0"/>
        <w:ind w:firstLine="480" w:firstLineChars="200"/>
        <w:jc w:val="left"/>
        <w:rPr>
          <w:rFonts w:ascii="宋体" w:hAnsi="宋体" w:eastAsia="宋体" w:cs="宋体"/>
          <w:sz w:val="24"/>
        </w:rPr>
      </w:pPr>
      <w:r>
        <w:rPr>
          <w:rFonts w:hint="eastAsia" w:ascii="宋体" w:hAnsi="宋体" w:eastAsia="宋体" w:cs="仿宋"/>
          <w:sz w:val="24"/>
        </w:rPr>
        <w:t>注：生师比=折合在校生数/折合教师总数（折合教师总数=专任教师数+外聘教师数×0.5+直属医院具有医师职称的医生人数×0.15+直属附属医院人员×0.15）</w:t>
      </w:r>
    </w:p>
    <w:p>
      <w:pPr>
        <w:adjustRightInd w:val="0"/>
        <w:snapToGrid w:val="0"/>
        <w:ind w:firstLine="480" w:firstLineChars="200"/>
        <w:jc w:val="left"/>
        <w:rPr>
          <w:rFonts w:ascii="宋体" w:hAnsi="宋体" w:eastAsia="宋体" w:cs="宋体"/>
          <w:sz w:val="24"/>
        </w:rPr>
      </w:pP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教师队伍职称、学位、年龄的结构详见表4。</w:t>
      </w:r>
    </w:p>
    <w:p>
      <w:pPr>
        <w:adjustRightInd w:val="0"/>
        <w:snapToGrid w:val="0"/>
        <w:ind w:firstLine="480" w:firstLineChars="200"/>
        <w:jc w:val="left"/>
        <w:rPr>
          <w:rFonts w:ascii="宋体" w:hAnsi="宋体" w:eastAsia="宋体" w:cs="宋体"/>
          <w:sz w:val="24"/>
        </w:rPr>
      </w:pPr>
    </w:p>
    <w:p>
      <w:pPr>
        <w:adjustRightInd w:val="0"/>
        <w:snapToGrid w:val="0"/>
        <w:jc w:val="center"/>
        <w:rPr>
          <w:sz w:val="24"/>
        </w:rPr>
      </w:pPr>
      <w:r>
        <w:rPr>
          <w:rFonts w:ascii="Calibri" w:hAnsi="Calibri" w:eastAsia="宋体" w:cs="Times New Roman"/>
          <w:sz w:val="24"/>
        </w:rPr>
        <w:tab/>
      </w:r>
      <w:r>
        <w:rPr>
          <w:rFonts w:hint="eastAsia" w:ascii="宋体" w:hAnsi="宋体" w:eastAsia="宋体" w:cs="宋体"/>
          <w:b/>
          <w:bCs/>
          <w:sz w:val="24"/>
        </w:rPr>
        <w:t>表4 教师队伍职称、学位、年龄结构</w:t>
      </w:r>
    </w:p>
    <w:tbl>
      <w:tblPr>
        <w:tblStyle w:val="10"/>
        <w:tblW w:w="92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2051"/>
        <w:gridCol w:w="988"/>
        <w:gridCol w:w="1806"/>
        <w:gridCol w:w="988"/>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69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项目</w:t>
            </w:r>
          </w:p>
        </w:tc>
        <w:tc>
          <w:tcPr>
            <w:tcW w:w="2794" w:type="dxa"/>
            <w:gridSpan w:val="2"/>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专任教师</w:t>
            </w:r>
          </w:p>
        </w:tc>
        <w:tc>
          <w:tcPr>
            <w:tcW w:w="2794" w:type="dxa"/>
            <w:gridSpan w:val="2"/>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外聘教师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69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数量</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比例（%）</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数量</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6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总计</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471</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50</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restart"/>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职称</w:t>
            </w: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正高级</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10.4</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其中教授</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46</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9.77</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副高级</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122</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25.9</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其中副教授</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117</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24.84</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中级</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226</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47.98</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32</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其中讲师</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219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46.5</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初级</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35</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7.43</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其中助教</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34</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7.22</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未评级</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8.28</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restart"/>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最高学位</w:t>
            </w: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博士</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8.07</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硕士</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327</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69.43</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学士</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80</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16.99</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无学位</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26</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5.52</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restart"/>
            <w:tcBorders>
              <w:top w:val="nil"/>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年龄</w:t>
            </w: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35岁及以下</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133</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28.24</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36-45岁</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205</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43.52</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17</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46-55岁</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114</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24.2</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11</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1641" w:type="dxa"/>
            <w:vMerge w:val="continue"/>
            <w:tcBorders>
              <w:top w:val="nil"/>
              <w:left w:val="single" w:color="auto" w:sz="4" w:space="0"/>
              <w:bottom w:val="single" w:color="auto" w:sz="4" w:space="0"/>
              <w:right w:val="single" w:color="auto" w:sz="4" w:space="0"/>
            </w:tcBorders>
            <w:shd w:val="clear" w:color="auto" w:fill="auto"/>
            <w:vAlign w:val="center"/>
          </w:tcPr>
          <w:p>
            <w:pPr>
              <w:adjustRightInd w:val="0"/>
              <w:snapToGrid w:val="0"/>
              <w:rPr>
                <w:rFonts w:ascii="Calibri" w:hAnsi="Calibri" w:cs="Calibri"/>
                <w:sz w:val="24"/>
              </w:rPr>
            </w:pPr>
          </w:p>
        </w:tc>
        <w:tc>
          <w:tcPr>
            <w:tcW w:w="205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56岁及以上</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19</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4.03</w:t>
            </w:r>
          </w:p>
        </w:tc>
        <w:tc>
          <w:tcPr>
            <w:tcW w:w="988"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w:t>
            </w:r>
          </w:p>
        </w:tc>
        <w:tc>
          <w:tcPr>
            <w:tcW w:w="1806"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6</w:t>
            </w:r>
          </w:p>
        </w:tc>
      </w:tr>
    </w:tbl>
    <w:p>
      <w:pPr>
        <w:adjustRightInd w:val="0"/>
        <w:snapToGrid w:val="0"/>
        <w:jc w:val="left"/>
        <w:rPr>
          <w:rFonts w:ascii="Calibri" w:hAnsi="Calibri"/>
          <w:sz w:val="24"/>
        </w:rPr>
      </w:pPr>
      <w:r>
        <w:rPr>
          <w:rFonts w:ascii="Calibri" w:hAnsi="Calibri" w:eastAsia="宋体" w:cs="Times New Roman"/>
          <w:sz w:val="24"/>
        </w:rPr>
        <w:t xml:space="preserve"> </w:t>
      </w:r>
    </w:p>
    <w:p>
      <w:pPr>
        <w:adjustRightInd w:val="0"/>
        <w:snapToGrid w:val="0"/>
      </w:pPr>
      <w:r>
        <w:rPr>
          <w:rFonts w:ascii="Calibri" w:hAnsi="Calibri" w:eastAsia="宋体" w:cs="Times New Roman"/>
          <w:sz w:val="24"/>
        </w:rPr>
        <w:tab/>
      </w:r>
      <w:r>
        <w:rPr>
          <w:rFonts w:hint="eastAsia" w:ascii="宋体" w:hAnsi="宋体" w:eastAsia="宋体" w:cs="宋体"/>
          <w:sz w:val="24"/>
        </w:rPr>
        <w:t>近两学年教师职称、学位、年龄情况见图2、图3、图4。</w:t>
      </w:r>
    </w:p>
    <w:p>
      <w:pPr>
        <w:adjustRightInd w:val="0"/>
        <w:snapToGrid w:val="0"/>
        <w:jc w:val="left"/>
        <w:rPr>
          <w:rFonts w:ascii="宋体" w:hAnsi="宋体" w:eastAsia="宋体" w:cs="宋体"/>
          <w:sz w:val="24"/>
        </w:rPr>
      </w:pPr>
    </w:p>
    <w:p>
      <w:pPr>
        <w:adjustRightInd w:val="0"/>
        <w:snapToGrid w:val="0"/>
        <w:jc w:val="left"/>
        <w:rPr>
          <w:rFonts w:ascii="宋体" w:hAnsi="宋体" w:eastAsia="宋体" w:cs="宋体"/>
          <w:sz w:val="24"/>
        </w:rPr>
      </w:pPr>
    </w:p>
    <w:p>
      <w:pPr>
        <w:adjustRightInd w:val="0"/>
        <w:snapToGrid w:val="0"/>
        <w:jc w:val="left"/>
      </w:pPr>
    </w:p>
    <w:p>
      <w:pPr>
        <w:adjustRightInd w:val="0"/>
        <w:snapToGrid w:val="0"/>
        <w:jc w:val="center"/>
      </w:pPr>
      <w:r>
        <w:rPr>
          <w:rFonts w:ascii="Calibri" w:hAnsi="Calibri" w:eastAsia="宋体" w:cs="Times New Roman"/>
          <w:szCs w:val="22"/>
        </w:rPr>
        <w:drawing>
          <wp:inline distT="0" distB="0" distL="114300" distR="114300">
            <wp:extent cx="4819650" cy="2886075"/>
            <wp:effectExtent l="0" t="0" r="0" b="9525"/>
            <wp:docPr id="6" name="图片 2"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logo100.png"/>
                    <pic:cNvPicPr>
                      <a:picLocks noChangeAspect="1"/>
                    </pic:cNvPicPr>
                  </pic:nvPicPr>
                  <pic:blipFill>
                    <a:blip r:embed="rId6" cstate="print"/>
                    <a:stretch>
                      <a:fillRect/>
                    </a:stretch>
                  </pic:blipFill>
                  <pic:spPr>
                    <a:xfrm>
                      <a:off x="0" y="0"/>
                      <a:ext cx="4819650" cy="2886075"/>
                    </a:xfrm>
                    <a:prstGeom prst="rect">
                      <a:avLst/>
                    </a:prstGeom>
                    <a:noFill/>
                    <a:ln>
                      <a:noFill/>
                    </a:ln>
                  </pic:spPr>
                </pic:pic>
              </a:graphicData>
            </a:graphic>
          </wp:inline>
        </w:drawing>
      </w:r>
    </w:p>
    <w:p>
      <w:pPr>
        <w:adjustRightInd w:val="0"/>
        <w:snapToGrid w:val="0"/>
        <w:jc w:val="center"/>
      </w:pPr>
      <w:r>
        <w:rPr>
          <w:rFonts w:hint="eastAsia" w:ascii="宋体" w:hAnsi="宋体" w:eastAsia="宋体" w:cs="宋体"/>
          <w:sz w:val="24"/>
        </w:rPr>
        <w:t>图2  近两学年专任教师学位情况（%）</w:t>
      </w:r>
    </w:p>
    <w:p>
      <w:pPr>
        <w:adjustRightInd w:val="0"/>
        <w:snapToGrid w:val="0"/>
        <w:jc w:val="left"/>
      </w:pPr>
    </w:p>
    <w:p>
      <w:pPr>
        <w:adjustRightInd w:val="0"/>
        <w:snapToGrid w:val="0"/>
        <w:jc w:val="left"/>
      </w:pPr>
    </w:p>
    <w:p>
      <w:pPr>
        <w:adjustRightInd w:val="0"/>
        <w:snapToGrid w:val="0"/>
        <w:jc w:val="left"/>
      </w:pPr>
    </w:p>
    <w:p>
      <w:pPr>
        <w:adjustRightInd w:val="0"/>
        <w:snapToGrid w:val="0"/>
        <w:jc w:val="center"/>
      </w:pPr>
      <w:r>
        <w:rPr>
          <w:rFonts w:ascii="Calibri" w:hAnsi="Calibri" w:eastAsia="宋体" w:cs="Times New Roman"/>
          <w:szCs w:val="22"/>
        </w:rPr>
        <w:drawing>
          <wp:inline distT="0" distB="0" distL="114300" distR="114300">
            <wp:extent cx="4819650" cy="2886075"/>
            <wp:effectExtent l="0" t="0" r="0" b="9525"/>
            <wp:docPr id="4" name="图片 3"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logo100.png"/>
                    <pic:cNvPicPr>
                      <a:picLocks noChangeAspect="1"/>
                    </pic:cNvPicPr>
                  </pic:nvPicPr>
                  <pic:blipFill>
                    <a:blip r:embed="rId7" cstate="print"/>
                    <a:stretch>
                      <a:fillRect/>
                    </a:stretch>
                  </pic:blipFill>
                  <pic:spPr>
                    <a:xfrm>
                      <a:off x="0" y="0"/>
                      <a:ext cx="4819650" cy="2886075"/>
                    </a:xfrm>
                    <a:prstGeom prst="rect">
                      <a:avLst/>
                    </a:prstGeom>
                    <a:noFill/>
                    <a:ln>
                      <a:noFill/>
                    </a:ln>
                  </pic:spPr>
                </pic:pic>
              </a:graphicData>
            </a:graphic>
          </wp:inline>
        </w:drawing>
      </w:r>
    </w:p>
    <w:p>
      <w:pPr>
        <w:adjustRightInd w:val="0"/>
        <w:snapToGrid w:val="0"/>
        <w:jc w:val="center"/>
      </w:pPr>
      <w:r>
        <w:rPr>
          <w:rFonts w:hint="eastAsia" w:ascii="宋体" w:hAnsi="宋体" w:eastAsia="宋体" w:cs="宋体"/>
          <w:sz w:val="24"/>
        </w:rPr>
        <w:t>图3   近两学年专任教师职称情况（%）</w:t>
      </w:r>
    </w:p>
    <w:p>
      <w:pPr>
        <w:adjustRightInd w:val="0"/>
        <w:snapToGrid w:val="0"/>
        <w:jc w:val="left"/>
      </w:pPr>
    </w:p>
    <w:p>
      <w:pPr>
        <w:adjustRightInd w:val="0"/>
        <w:snapToGrid w:val="0"/>
        <w:jc w:val="left"/>
      </w:pPr>
      <w:r>
        <w:rPr>
          <w:rFonts w:hint="eastAsia"/>
        </w:rPr>
        <w:t xml:space="preserve"> </w:t>
      </w:r>
    </w:p>
    <w:p>
      <w:pPr>
        <w:adjustRightInd w:val="0"/>
        <w:snapToGrid w:val="0"/>
        <w:jc w:val="center"/>
      </w:pPr>
      <w:r>
        <w:rPr>
          <w:rFonts w:ascii="Calibri" w:hAnsi="Calibri" w:eastAsia="宋体" w:cs="Times New Roman"/>
          <w:szCs w:val="22"/>
        </w:rPr>
        <w:drawing>
          <wp:inline distT="0" distB="0" distL="114300" distR="114300">
            <wp:extent cx="4819650" cy="2886075"/>
            <wp:effectExtent l="0" t="0" r="0" b="9525"/>
            <wp:docPr id="5" name="图片 4"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logo100.png"/>
                    <pic:cNvPicPr>
                      <a:picLocks noChangeAspect="1"/>
                    </pic:cNvPicPr>
                  </pic:nvPicPr>
                  <pic:blipFill>
                    <a:blip r:embed="rId8" cstate="print"/>
                    <a:stretch>
                      <a:fillRect/>
                    </a:stretch>
                  </pic:blipFill>
                  <pic:spPr>
                    <a:xfrm>
                      <a:off x="0" y="0"/>
                      <a:ext cx="4819650" cy="2886075"/>
                    </a:xfrm>
                    <a:prstGeom prst="rect">
                      <a:avLst/>
                    </a:prstGeom>
                    <a:noFill/>
                    <a:ln>
                      <a:noFill/>
                    </a:ln>
                  </pic:spPr>
                </pic:pic>
              </a:graphicData>
            </a:graphic>
          </wp:inline>
        </w:drawing>
      </w:r>
    </w:p>
    <w:p>
      <w:pPr>
        <w:adjustRightInd w:val="0"/>
        <w:snapToGrid w:val="0"/>
        <w:jc w:val="center"/>
      </w:pPr>
      <w:r>
        <w:rPr>
          <w:rFonts w:hint="eastAsia" w:ascii="宋体" w:hAnsi="宋体" w:eastAsia="宋体" w:cs="宋体"/>
          <w:sz w:val="24"/>
        </w:rPr>
        <w:t>图4  近两学年专任教师年龄结构（%）</w:t>
      </w:r>
    </w:p>
    <w:p>
      <w:pPr>
        <w:adjustRightInd w:val="0"/>
        <w:snapToGrid w:val="0"/>
        <w:jc w:val="left"/>
      </w:pPr>
    </w:p>
    <w:p>
      <w:pPr>
        <w:adjustRightInd w:val="0"/>
        <w:snapToGrid w:val="0"/>
      </w:pPr>
      <w:r>
        <w:rPr>
          <w:rFonts w:ascii="Calibri" w:hAnsi="Calibri" w:eastAsia="宋体" w:cs="Times New Roman"/>
          <w:szCs w:val="22"/>
        </w:rPr>
        <w:tab/>
      </w:r>
      <w:r>
        <w:rPr>
          <w:rFonts w:hint="eastAsia" w:ascii="宋体" w:hAnsi="宋体" w:eastAsia="宋体" w:cs="宋体"/>
          <w:sz w:val="24"/>
        </w:rPr>
        <w:t>学校目前有百千万人才工程入选者4人；省级高层次人才4人，其中2018年当选1人；省级教学名师4人。</w:t>
      </w:r>
    </w:p>
    <w:p>
      <w:pPr>
        <w:adjustRightInd w:val="0"/>
        <w:snapToGrid w:val="0"/>
        <w:jc w:val="left"/>
      </w:pPr>
    </w:p>
    <w:p>
      <w:pPr>
        <w:adjustRightInd w:val="0"/>
        <w:snapToGrid w:val="0"/>
        <w:jc w:val="left"/>
      </w:pPr>
    </w:p>
    <w:p>
      <w:pPr>
        <w:pStyle w:val="3"/>
        <w:widowControl/>
        <w:adjustRightInd w:val="0"/>
        <w:snapToGrid w:val="0"/>
        <w:spacing w:before="0" w:after="0" w:line="240" w:lineRule="auto"/>
        <w:ind w:firstLine="280" w:firstLineChars="100"/>
        <w:jc w:val="left"/>
        <w:rPr>
          <w:b w:val="0"/>
          <w:bCs/>
          <w:sz w:val="24"/>
          <w:szCs w:val="24"/>
        </w:rPr>
      </w:pPr>
      <w:r>
        <w:rPr>
          <w:rFonts w:hint="eastAsia" w:ascii="黑体" w:hAnsi="宋体" w:eastAsia="黑体" w:cs="黑体"/>
          <w:b w:val="0"/>
          <w:bCs/>
          <w:sz w:val="28"/>
          <w:szCs w:val="28"/>
        </w:rPr>
        <w:t>（二）本科主讲教师情况</w:t>
      </w:r>
    </w:p>
    <w:p>
      <w:pPr>
        <w:adjustRightInd w:val="0"/>
        <w:snapToGrid w:val="0"/>
        <w:jc w:val="left"/>
        <w:rPr>
          <w:sz w:val="24"/>
        </w:rPr>
      </w:pPr>
      <w:r>
        <w:rPr>
          <w:rFonts w:ascii="Calibri" w:hAnsi="Calibri" w:eastAsia="宋体" w:cs="Times New Roman"/>
          <w:sz w:val="24"/>
        </w:rPr>
        <w:tab/>
      </w:r>
      <w:r>
        <w:rPr>
          <w:rFonts w:hint="eastAsia" w:ascii="宋体" w:hAnsi="宋体" w:eastAsia="宋体" w:cs="宋体"/>
          <w:sz w:val="24"/>
        </w:rPr>
        <w:t>本学年高级职称教师承担的课程门数为459，占总课程门数的36.57%；课程门次数为924，占开课总门次的27.59%。</w:t>
      </w:r>
    </w:p>
    <w:p>
      <w:pPr>
        <w:adjustRightInd w:val="0"/>
        <w:snapToGrid w:val="0"/>
        <w:jc w:val="left"/>
        <w:rPr>
          <w:sz w:val="24"/>
        </w:rPr>
      </w:pPr>
      <w:r>
        <w:rPr>
          <w:rFonts w:ascii="Calibri" w:hAnsi="Calibri" w:eastAsia="宋体" w:cs="Times New Roman"/>
          <w:sz w:val="24"/>
        </w:rPr>
        <w:tab/>
      </w:r>
      <w:r>
        <w:rPr>
          <w:rFonts w:hint="eastAsia" w:ascii="宋体" w:hAnsi="宋体" w:eastAsia="宋体" w:cs="宋体"/>
          <w:sz w:val="24"/>
        </w:rPr>
        <w:t>正高级职称教师承担的课程门数为160，占总课程门数的12.75%；课程门次数为288，占开课总门次的8.6%。其中教授职称教师承担的课程门数为145，占总课程门数的11.55%；课程门次数为266，占开课总门次的7.94%。</w:t>
      </w:r>
    </w:p>
    <w:p>
      <w:pPr>
        <w:adjustRightInd w:val="0"/>
        <w:snapToGrid w:val="0"/>
        <w:jc w:val="left"/>
        <w:rPr>
          <w:sz w:val="24"/>
        </w:rPr>
      </w:pPr>
      <w:r>
        <w:rPr>
          <w:rFonts w:ascii="Calibri" w:hAnsi="Calibri" w:eastAsia="宋体" w:cs="Times New Roman"/>
          <w:sz w:val="24"/>
        </w:rPr>
        <w:tab/>
      </w:r>
      <w:r>
        <w:rPr>
          <w:rFonts w:hint="eastAsia" w:ascii="宋体" w:hAnsi="宋体" w:eastAsia="宋体" w:cs="宋体"/>
          <w:sz w:val="24"/>
        </w:rPr>
        <w:t>副高级职称教师承担的课程门数为328，占总课程门数的26.14%；课程门次数为636，占开课总门次的18.99%。其中副教授职称教师承担的课程门数为310，占总课程门数的24.7%；课程门次数为605，占开课总门次的18.07%。</w:t>
      </w:r>
    </w:p>
    <w:p>
      <w:pPr>
        <w:adjustRightInd w:val="0"/>
        <w:snapToGrid w:val="0"/>
        <w:jc w:val="left"/>
        <w:rPr>
          <w:sz w:val="24"/>
        </w:rPr>
      </w:pPr>
      <w:r>
        <w:rPr>
          <w:rFonts w:ascii="Calibri" w:hAnsi="Calibri" w:eastAsia="宋体" w:cs="Times New Roman"/>
          <w:sz w:val="24"/>
        </w:rPr>
        <w:tab/>
      </w:r>
      <w:r>
        <w:rPr>
          <w:rFonts w:hint="eastAsia" w:ascii="仿宋" w:hAnsi="仿宋" w:eastAsia="仿宋" w:cs="仿宋"/>
          <w:sz w:val="24"/>
        </w:rPr>
        <w:t>注：以上统计包含外聘人员与离职人员。</w:t>
      </w:r>
    </w:p>
    <w:p>
      <w:pPr>
        <w:adjustRightInd w:val="0"/>
        <w:snapToGrid w:val="0"/>
        <w:jc w:val="left"/>
        <w:rPr>
          <w:sz w:val="24"/>
        </w:rPr>
      </w:pPr>
      <w:r>
        <w:rPr>
          <w:rFonts w:ascii="Calibri" w:hAnsi="Calibri" w:eastAsia="宋体" w:cs="Times New Roman"/>
          <w:sz w:val="24"/>
        </w:rPr>
        <w:tab/>
      </w:r>
      <w:r>
        <w:rPr>
          <w:rFonts w:hint="eastAsia" w:ascii="宋体" w:hAnsi="宋体" w:eastAsia="宋体" w:cs="宋体"/>
          <w:sz w:val="24"/>
        </w:rPr>
        <w:t>承担本科教学的具有教授职称的教师有48人，以我校具有教授职称教师66人计，主讲本科课程的教授比例为72.73%。</w:t>
      </w:r>
    </w:p>
    <w:p>
      <w:pPr>
        <w:adjustRightInd w:val="0"/>
        <w:snapToGrid w:val="0"/>
        <w:jc w:val="left"/>
        <w:rPr>
          <w:sz w:val="24"/>
        </w:rPr>
      </w:pPr>
      <w:r>
        <w:rPr>
          <w:rFonts w:ascii="Calibri" w:hAnsi="Calibri" w:eastAsia="宋体" w:cs="Times New Roman"/>
          <w:sz w:val="24"/>
        </w:rPr>
        <w:tab/>
      </w:r>
      <w:r>
        <w:rPr>
          <w:rFonts w:hint="eastAsia" w:ascii="仿宋" w:hAnsi="仿宋" w:eastAsia="仿宋" w:cs="仿宋"/>
          <w:sz w:val="24"/>
        </w:rPr>
        <w:t>注：以上统计包含离职人员，只统计本校人员。</w:t>
      </w:r>
    </w:p>
    <w:p>
      <w:pPr>
        <w:adjustRightInd w:val="0"/>
        <w:snapToGrid w:val="0"/>
        <w:jc w:val="center"/>
      </w:pPr>
      <w:r>
        <w:rPr>
          <w:rFonts w:ascii="Calibri" w:hAnsi="Calibri" w:eastAsia="宋体" w:cs="Times New Roman"/>
          <w:szCs w:val="22"/>
        </w:rPr>
        <w:drawing>
          <wp:inline distT="0" distB="0" distL="114300" distR="114300">
            <wp:extent cx="4819650" cy="2886075"/>
            <wp:effectExtent l="0" t="0" r="0" b="9525"/>
            <wp:docPr id="2" name="图片 5"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logo100.png"/>
                    <pic:cNvPicPr>
                      <a:picLocks noChangeAspect="1"/>
                    </pic:cNvPicPr>
                  </pic:nvPicPr>
                  <pic:blipFill>
                    <a:blip r:embed="rId9" cstate="print"/>
                    <a:stretch>
                      <a:fillRect/>
                    </a:stretch>
                  </pic:blipFill>
                  <pic:spPr>
                    <a:xfrm>
                      <a:off x="0" y="0"/>
                      <a:ext cx="4819650" cy="2886075"/>
                    </a:xfrm>
                    <a:prstGeom prst="rect">
                      <a:avLst/>
                    </a:prstGeom>
                    <a:noFill/>
                    <a:ln>
                      <a:noFill/>
                    </a:ln>
                  </pic:spPr>
                </pic:pic>
              </a:graphicData>
            </a:graphic>
          </wp:inline>
        </w:drawing>
      </w:r>
    </w:p>
    <w:p>
      <w:pPr>
        <w:adjustRightInd w:val="0"/>
        <w:snapToGrid w:val="0"/>
        <w:jc w:val="center"/>
      </w:pPr>
      <w:r>
        <w:rPr>
          <w:rFonts w:hint="eastAsia" w:ascii="宋体" w:hAnsi="宋体" w:eastAsia="宋体" w:cs="宋体"/>
          <w:sz w:val="24"/>
        </w:rPr>
        <w:t>图5 各职称类别教师承担课程门数占比（%）</w:t>
      </w:r>
    </w:p>
    <w:p>
      <w:pPr>
        <w:adjustRightInd w:val="0"/>
        <w:snapToGrid w:val="0"/>
        <w:jc w:val="left"/>
      </w:pPr>
    </w:p>
    <w:p>
      <w:pPr>
        <w:adjustRightInd w:val="0"/>
        <w:snapToGrid w:val="0"/>
        <w:jc w:val="left"/>
      </w:pPr>
    </w:p>
    <w:p>
      <w:pPr>
        <w:adjustRightInd w:val="0"/>
        <w:snapToGrid w:val="0"/>
        <w:jc w:val="left"/>
      </w:pPr>
    </w:p>
    <w:p>
      <w:pPr>
        <w:adjustRightInd w:val="0"/>
        <w:snapToGrid w:val="0"/>
        <w:jc w:val="center"/>
      </w:pPr>
      <w:r>
        <w:rPr>
          <w:rFonts w:ascii="Calibri" w:hAnsi="Calibri" w:eastAsia="宋体" w:cs="Times New Roman"/>
          <w:szCs w:val="22"/>
        </w:rPr>
        <w:drawing>
          <wp:inline distT="0" distB="0" distL="114300" distR="114300">
            <wp:extent cx="4819650" cy="2886075"/>
            <wp:effectExtent l="0" t="0" r="0" b="9525"/>
            <wp:docPr id="1" name="图片 0" descr="logo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logo100.png"/>
                    <pic:cNvPicPr>
                      <a:picLocks noChangeAspect="1"/>
                    </pic:cNvPicPr>
                  </pic:nvPicPr>
                  <pic:blipFill>
                    <a:blip r:embed="rId10" cstate="print"/>
                    <a:stretch>
                      <a:fillRect/>
                    </a:stretch>
                  </pic:blipFill>
                  <pic:spPr>
                    <a:xfrm>
                      <a:off x="0" y="0"/>
                      <a:ext cx="4819650" cy="2886075"/>
                    </a:xfrm>
                    <a:prstGeom prst="rect">
                      <a:avLst/>
                    </a:prstGeom>
                    <a:noFill/>
                    <a:ln>
                      <a:noFill/>
                    </a:ln>
                  </pic:spPr>
                </pic:pic>
              </a:graphicData>
            </a:graphic>
          </wp:inline>
        </w:drawing>
      </w:r>
    </w:p>
    <w:p>
      <w:pPr>
        <w:adjustRightInd w:val="0"/>
        <w:snapToGrid w:val="0"/>
        <w:jc w:val="center"/>
      </w:pPr>
      <w:r>
        <w:rPr>
          <w:rFonts w:hint="eastAsia" w:ascii="宋体" w:hAnsi="宋体" w:eastAsia="宋体" w:cs="宋体"/>
          <w:sz w:val="24"/>
        </w:rPr>
        <w:t>图6  近两学年教授为本科生上课情况（%）</w:t>
      </w:r>
    </w:p>
    <w:p>
      <w:pPr>
        <w:adjustRightInd w:val="0"/>
        <w:snapToGrid w:val="0"/>
        <w:jc w:val="left"/>
      </w:pPr>
    </w:p>
    <w:p>
      <w:pPr>
        <w:adjustRightInd w:val="0"/>
        <w:snapToGrid w:val="0"/>
        <w:ind w:firstLine="480" w:firstLineChars="200"/>
        <w:jc w:val="left"/>
      </w:pPr>
      <w:r>
        <w:rPr>
          <w:rFonts w:hint="eastAsia" w:ascii="宋体" w:hAnsi="宋体" w:eastAsia="宋体" w:cs="宋体"/>
          <w:sz w:val="24"/>
        </w:rPr>
        <w:t>我校有省级教学名师4人，本学年主讲本科课程的省级教学名师3人，占比为75%。</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本学年主讲本科专业核心课程的教授23人，占授课教授总人数比例的46.94%。高级职称教师承担的本科专业核心课程157门，占所开设本科专业核心课程的比例为46.73%。</w:t>
      </w:r>
    </w:p>
    <w:p>
      <w:pPr>
        <w:adjustRightInd w:val="0"/>
        <w:snapToGrid w:val="0"/>
        <w:ind w:firstLine="480" w:firstLineChars="200"/>
        <w:jc w:val="left"/>
        <w:rPr>
          <w:rFonts w:ascii="宋体" w:hAnsi="宋体" w:eastAsia="宋体" w:cs="宋体"/>
          <w:sz w:val="24"/>
        </w:rPr>
      </w:pPr>
    </w:p>
    <w:p>
      <w:pPr>
        <w:pStyle w:val="3"/>
        <w:widowControl/>
        <w:adjustRightInd w:val="0"/>
        <w:snapToGrid w:val="0"/>
        <w:spacing w:before="0" w:after="0" w:line="240" w:lineRule="auto"/>
        <w:ind w:firstLine="281" w:firstLineChars="100"/>
        <w:jc w:val="left"/>
        <w:rPr>
          <w:sz w:val="24"/>
          <w:szCs w:val="24"/>
        </w:rPr>
      </w:pPr>
      <w:r>
        <w:rPr>
          <w:rFonts w:hint="eastAsia" w:ascii="黑体" w:hAnsi="宋体" w:eastAsia="黑体" w:cs="黑体"/>
          <w:sz w:val="28"/>
          <w:szCs w:val="28"/>
        </w:rPr>
        <w:t>（三）教学经费投入情况</w:t>
      </w:r>
    </w:p>
    <w:p>
      <w:pPr>
        <w:adjustRightInd w:val="0"/>
        <w:snapToGrid w:val="0"/>
        <w:ind w:firstLine="480" w:firstLineChars="200"/>
        <w:jc w:val="left"/>
        <w:rPr>
          <w:sz w:val="24"/>
        </w:rPr>
      </w:pPr>
      <w:r>
        <w:rPr>
          <w:rFonts w:hint="eastAsia" w:ascii="宋体" w:hAnsi="宋体" w:eastAsia="宋体" w:cs="宋体"/>
          <w:sz w:val="24"/>
        </w:rPr>
        <w:t>2018年教学日常运行支出为1945.61万元（占经常性预算内教育事业费拨款与学费收入之和的比例为15.38%，国家标准为13%），本科实验经费支出为118.56万元，本科实习经费支出为295.58万元。生均教学日常运行支出为2087.12元（国家标准为生均年教学日常运行支出大于等于1200元），生均本科实验经费为127.18元，生均实习经费为317.08元。近两年生均教学日常运行支出、生均实验经费、生均实习经费详见图7。</w:t>
      </w:r>
    </w:p>
    <w:p>
      <w:pPr>
        <w:adjustRightInd w:val="0"/>
        <w:snapToGrid w:val="0"/>
        <w:jc w:val="left"/>
      </w:pPr>
      <w:r>
        <w:rPr>
          <w:rFonts w:ascii="Calibri" w:hAnsi="Calibri" w:eastAsia="宋体" w:cs="Times New Roman"/>
          <w:szCs w:val="22"/>
        </w:rPr>
        <w:t xml:space="preserve"> </w:t>
      </w:r>
    </w:p>
    <w:p>
      <w:pPr>
        <w:adjustRightInd w:val="0"/>
        <w:snapToGrid w:val="0"/>
        <w:jc w:val="center"/>
      </w:pPr>
      <w:r>
        <w:rPr>
          <w:rFonts w:ascii="Calibri" w:hAnsi="Calibri" w:eastAsia="宋体" w:cs="Times New Roman"/>
          <w:szCs w:val="22"/>
        </w:rPr>
        <w:drawing>
          <wp:inline distT="0" distB="0" distL="114300" distR="114300">
            <wp:extent cx="4819650" cy="2886075"/>
            <wp:effectExtent l="0" t="0" r="0" b="9525"/>
            <wp:docPr id="7"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wps1"/>
                    <pic:cNvPicPr>
                      <a:picLocks noChangeAspect="1"/>
                    </pic:cNvPicPr>
                  </pic:nvPicPr>
                  <pic:blipFill>
                    <a:blip r:embed="rId11" cstate="print"/>
                    <a:stretch>
                      <a:fillRect/>
                    </a:stretch>
                  </pic:blipFill>
                  <pic:spPr>
                    <a:xfrm>
                      <a:off x="0" y="0"/>
                      <a:ext cx="4819650" cy="2886075"/>
                    </a:xfrm>
                    <a:prstGeom prst="rect">
                      <a:avLst/>
                    </a:prstGeom>
                    <a:noFill/>
                    <a:ln>
                      <a:noFill/>
                    </a:ln>
                  </pic:spPr>
                </pic:pic>
              </a:graphicData>
            </a:graphic>
          </wp:inline>
        </w:drawing>
      </w:r>
      <w:r>
        <w:rPr>
          <w:rFonts w:ascii="Calibri" w:hAnsi="Calibri" w:eastAsia="宋体" w:cs="Times New Roman"/>
          <w:szCs w:val="22"/>
        </w:rPr>
        <w:t xml:space="preserve"> </w:t>
      </w:r>
    </w:p>
    <w:p>
      <w:pPr>
        <w:adjustRightInd w:val="0"/>
        <w:snapToGrid w:val="0"/>
      </w:pPr>
      <w:r>
        <w:rPr>
          <w:rFonts w:hint="eastAsia" w:ascii="仿宋" w:hAnsi="仿宋" w:eastAsia="仿宋" w:cs="仿宋"/>
          <w:sz w:val="24"/>
        </w:rPr>
        <w:t>图7  近两年生均教学日常运行支出、生均实验经费、生均实习经费（元）</w:t>
      </w:r>
    </w:p>
    <w:p>
      <w:pPr>
        <w:adjustRightInd w:val="0"/>
        <w:snapToGrid w:val="0"/>
        <w:jc w:val="left"/>
      </w:pPr>
    </w:p>
    <w:p>
      <w:pPr>
        <w:adjustRightInd w:val="0"/>
        <w:snapToGrid w:val="0"/>
        <w:jc w:val="left"/>
      </w:pPr>
    </w:p>
    <w:p>
      <w:pPr>
        <w:pStyle w:val="3"/>
        <w:widowControl/>
        <w:adjustRightInd w:val="0"/>
        <w:snapToGrid w:val="0"/>
        <w:spacing w:before="0" w:after="0" w:line="240" w:lineRule="auto"/>
        <w:ind w:firstLine="280" w:firstLineChars="100"/>
        <w:jc w:val="left"/>
        <w:rPr>
          <w:b w:val="0"/>
          <w:bCs/>
        </w:rPr>
      </w:pPr>
      <w:r>
        <w:rPr>
          <w:rFonts w:hint="eastAsia" w:ascii="黑体" w:hAnsi="宋体" w:eastAsia="黑体" w:cs="黑体"/>
          <w:b w:val="0"/>
          <w:bCs/>
          <w:sz w:val="28"/>
          <w:szCs w:val="28"/>
        </w:rPr>
        <w:t>（四）教学设施应用情况</w:t>
      </w:r>
    </w:p>
    <w:p>
      <w:pPr>
        <w:pStyle w:val="4"/>
        <w:widowControl/>
        <w:adjustRightInd w:val="0"/>
        <w:snapToGrid w:val="0"/>
        <w:spacing w:before="0" w:after="0" w:line="240" w:lineRule="auto"/>
        <w:ind w:firstLine="480" w:firstLineChars="200"/>
        <w:jc w:val="left"/>
        <w:rPr>
          <w:b w:val="0"/>
          <w:bCs/>
          <w:sz w:val="24"/>
          <w:szCs w:val="24"/>
        </w:rPr>
      </w:pPr>
      <w:r>
        <w:rPr>
          <w:rFonts w:hint="eastAsia" w:ascii="黑体" w:hAnsi="宋体" w:eastAsia="黑体" w:cs="黑体"/>
          <w:b w:val="0"/>
          <w:bCs/>
          <w:sz w:val="24"/>
          <w:szCs w:val="24"/>
        </w:rPr>
        <w:t>1.教学用房</w:t>
      </w:r>
    </w:p>
    <w:p>
      <w:pPr>
        <w:adjustRightInd w:val="0"/>
        <w:snapToGrid w:val="0"/>
        <w:ind w:firstLine="480" w:firstLineChars="200"/>
        <w:jc w:val="left"/>
        <w:rPr>
          <w:sz w:val="24"/>
        </w:rPr>
      </w:pPr>
      <w:r>
        <w:rPr>
          <w:rFonts w:hint="eastAsia" w:ascii="宋体" w:hAnsi="宋体" w:eastAsia="宋体" w:cs="宋体"/>
          <w:sz w:val="24"/>
        </w:rPr>
        <w:t>根据2019年统计，学校总占地面积137.869万m</w:t>
      </w:r>
      <w:r>
        <w:rPr>
          <w:rFonts w:hint="eastAsia" w:ascii="宋体" w:hAnsi="宋体" w:eastAsia="宋体" w:cs="宋体"/>
          <w:sz w:val="24"/>
          <w:vertAlign w:val="superscript"/>
        </w:rPr>
        <w:t>2</w:t>
      </w:r>
      <w:r>
        <w:rPr>
          <w:rFonts w:hint="eastAsia" w:ascii="宋体" w:hAnsi="宋体" w:eastAsia="宋体" w:cs="宋体"/>
          <w:sz w:val="24"/>
        </w:rPr>
        <w:t>，产权占地面积为137.869万m</w:t>
      </w:r>
      <w:r>
        <w:rPr>
          <w:rFonts w:hint="eastAsia" w:ascii="宋体" w:hAnsi="宋体" w:eastAsia="宋体" w:cs="宋体"/>
          <w:sz w:val="24"/>
          <w:vertAlign w:val="superscript"/>
        </w:rPr>
        <w:t>2</w:t>
      </w:r>
      <w:r>
        <w:rPr>
          <w:rFonts w:hint="eastAsia" w:ascii="宋体" w:hAnsi="宋体" w:eastAsia="宋体" w:cs="宋体"/>
          <w:sz w:val="24"/>
        </w:rPr>
        <w:t>，绿化用地面积为52.363万m</w:t>
      </w:r>
      <w:r>
        <w:rPr>
          <w:rFonts w:hint="eastAsia" w:ascii="宋体" w:hAnsi="宋体" w:eastAsia="宋体" w:cs="宋体"/>
          <w:sz w:val="24"/>
          <w:vertAlign w:val="superscript"/>
        </w:rPr>
        <w:t>2</w:t>
      </w:r>
      <w:r>
        <w:rPr>
          <w:rFonts w:hint="eastAsia" w:ascii="宋体" w:hAnsi="宋体" w:eastAsia="宋体" w:cs="宋体"/>
          <w:sz w:val="24"/>
        </w:rPr>
        <w:t>，学校总建筑面积为39.822万m</w:t>
      </w:r>
      <w:r>
        <w:rPr>
          <w:rFonts w:hint="eastAsia" w:ascii="宋体" w:hAnsi="宋体" w:eastAsia="宋体" w:cs="宋体"/>
          <w:sz w:val="24"/>
          <w:vertAlign w:val="superscript"/>
        </w:rPr>
        <w:t>2</w:t>
      </w:r>
      <w:r>
        <w:rPr>
          <w:rFonts w:hint="eastAsia" w:ascii="宋体" w:hAnsi="宋体" w:eastAsia="宋体" w:cs="宋体"/>
          <w:sz w:val="24"/>
        </w:rPr>
        <w:t>。</w:t>
      </w:r>
    </w:p>
    <w:p>
      <w:pPr>
        <w:adjustRightInd w:val="0"/>
        <w:snapToGrid w:val="0"/>
        <w:ind w:firstLine="480" w:firstLineChars="200"/>
        <w:jc w:val="left"/>
        <w:rPr>
          <w:sz w:val="24"/>
        </w:rPr>
      </w:pPr>
      <w:r>
        <w:rPr>
          <w:rFonts w:hint="eastAsia" w:ascii="宋体" w:hAnsi="宋体" w:eastAsia="宋体" w:cs="宋体"/>
          <w:sz w:val="24"/>
        </w:rPr>
        <w:t>学校现有教学行政用房面积（教学科研及辅助用房+行政办公用房）共217713.68m</w:t>
      </w:r>
      <w:r>
        <w:rPr>
          <w:rFonts w:hint="eastAsia" w:ascii="宋体" w:hAnsi="宋体" w:eastAsia="宋体" w:cs="宋体"/>
          <w:sz w:val="24"/>
          <w:vertAlign w:val="superscript"/>
        </w:rPr>
        <w:t>2</w:t>
      </w:r>
      <w:r>
        <w:rPr>
          <w:rFonts w:hint="eastAsia" w:ascii="宋体" w:hAnsi="宋体" w:eastAsia="宋体" w:cs="宋体"/>
          <w:sz w:val="24"/>
        </w:rPr>
        <w:t>，其中教室面积116065.36m</w:t>
      </w:r>
      <w:r>
        <w:rPr>
          <w:rFonts w:hint="eastAsia" w:ascii="宋体" w:hAnsi="宋体" w:eastAsia="宋体" w:cs="宋体"/>
          <w:sz w:val="24"/>
          <w:vertAlign w:val="superscript"/>
        </w:rPr>
        <w:t>2</w:t>
      </w:r>
      <w:r>
        <w:rPr>
          <w:rFonts w:hint="eastAsia" w:ascii="宋体" w:hAnsi="宋体" w:eastAsia="宋体" w:cs="宋体"/>
          <w:sz w:val="24"/>
        </w:rPr>
        <w:t>（含智慧教室面积1200m</w:t>
      </w:r>
      <w:r>
        <w:rPr>
          <w:rFonts w:hint="eastAsia" w:ascii="宋体" w:hAnsi="宋体" w:eastAsia="宋体" w:cs="宋体"/>
          <w:sz w:val="24"/>
          <w:vertAlign w:val="superscript"/>
        </w:rPr>
        <w:t>2</w:t>
      </w:r>
      <w:r>
        <w:rPr>
          <w:rFonts w:hint="eastAsia" w:ascii="宋体" w:hAnsi="宋体" w:eastAsia="宋体" w:cs="宋体"/>
          <w:sz w:val="24"/>
        </w:rPr>
        <w:t>），实验室及实习场所面积40669.82m</w:t>
      </w:r>
      <w:r>
        <w:rPr>
          <w:rFonts w:hint="eastAsia" w:ascii="宋体" w:hAnsi="宋体" w:eastAsia="宋体" w:cs="宋体"/>
          <w:sz w:val="24"/>
          <w:vertAlign w:val="superscript"/>
        </w:rPr>
        <w:t>2</w:t>
      </w:r>
      <w:r>
        <w:rPr>
          <w:rFonts w:hint="eastAsia" w:ascii="宋体" w:hAnsi="宋体" w:eastAsia="宋体" w:cs="宋体"/>
          <w:sz w:val="24"/>
        </w:rPr>
        <w:t>。拥有体育馆面积14280m</w:t>
      </w:r>
      <w:r>
        <w:rPr>
          <w:rFonts w:hint="eastAsia" w:ascii="宋体" w:hAnsi="宋体" w:eastAsia="宋体" w:cs="宋体"/>
          <w:sz w:val="24"/>
          <w:vertAlign w:val="superscript"/>
        </w:rPr>
        <w:t>2</w:t>
      </w:r>
      <w:r>
        <w:rPr>
          <w:rFonts w:hint="eastAsia" w:ascii="宋体" w:hAnsi="宋体" w:eastAsia="宋体" w:cs="宋体"/>
          <w:sz w:val="24"/>
        </w:rPr>
        <w:t>。拥有运动场面积233389m</w:t>
      </w:r>
      <w:r>
        <w:rPr>
          <w:rFonts w:hint="eastAsia" w:ascii="宋体" w:hAnsi="宋体" w:eastAsia="宋体" w:cs="宋体"/>
          <w:sz w:val="24"/>
          <w:vertAlign w:val="superscript"/>
        </w:rPr>
        <w:t>2</w:t>
      </w:r>
      <w:r>
        <w:rPr>
          <w:rFonts w:hint="eastAsia" w:ascii="宋体" w:hAnsi="宋体" w:eastAsia="宋体" w:cs="宋体"/>
          <w:sz w:val="24"/>
        </w:rPr>
        <w:t>。</w:t>
      </w:r>
    </w:p>
    <w:p>
      <w:pPr>
        <w:adjustRightInd w:val="0"/>
        <w:snapToGrid w:val="0"/>
        <w:ind w:firstLine="480" w:firstLineChars="200"/>
        <w:jc w:val="left"/>
        <w:rPr>
          <w:sz w:val="24"/>
        </w:rPr>
      </w:pPr>
      <w:r>
        <w:rPr>
          <w:rFonts w:hint="eastAsia" w:ascii="宋体" w:hAnsi="宋体" w:eastAsia="宋体" w:cs="宋体"/>
          <w:sz w:val="24"/>
        </w:rPr>
        <w:t>按全日制在校生9360人算，生均学校占地面积为147.3 m</w:t>
      </w:r>
      <w:r>
        <w:rPr>
          <w:rFonts w:hint="eastAsia" w:ascii="宋体" w:hAnsi="宋体" w:eastAsia="宋体" w:cs="宋体"/>
          <w:sz w:val="24"/>
          <w:vertAlign w:val="superscript"/>
        </w:rPr>
        <w:t>2</w:t>
      </w:r>
      <w:r>
        <w:rPr>
          <w:rFonts w:hint="eastAsia" w:ascii="宋体" w:hAnsi="宋体" w:eastAsia="宋体" w:cs="宋体"/>
          <w:sz w:val="24"/>
        </w:rPr>
        <w:t>/生，生均建筑面积为42.54 m</w:t>
      </w:r>
      <w:r>
        <w:rPr>
          <w:rFonts w:hint="eastAsia" w:ascii="宋体" w:hAnsi="宋体" w:eastAsia="宋体" w:cs="宋体"/>
          <w:sz w:val="24"/>
          <w:vertAlign w:val="superscript"/>
        </w:rPr>
        <w:t>2</w:t>
      </w:r>
      <w:r>
        <w:rPr>
          <w:rFonts w:hint="eastAsia" w:ascii="宋体" w:hAnsi="宋体" w:eastAsia="宋体" w:cs="宋体"/>
          <w:sz w:val="24"/>
        </w:rPr>
        <w:t>/生，生均绿化面积为55.94 m</w:t>
      </w:r>
      <w:r>
        <w:rPr>
          <w:rFonts w:hint="eastAsia" w:ascii="宋体" w:hAnsi="宋体" w:eastAsia="宋体" w:cs="宋体"/>
          <w:sz w:val="24"/>
          <w:vertAlign w:val="superscript"/>
        </w:rPr>
        <w:t>2</w:t>
      </w:r>
      <w:r>
        <w:rPr>
          <w:rFonts w:hint="eastAsia" w:ascii="宋体" w:hAnsi="宋体" w:eastAsia="宋体" w:cs="宋体"/>
          <w:sz w:val="24"/>
        </w:rPr>
        <w:t>/生，生均教学行政用房面积为23.26 m</w:t>
      </w:r>
      <w:r>
        <w:rPr>
          <w:rFonts w:hint="eastAsia" w:ascii="宋体" w:hAnsi="宋体" w:eastAsia="宋体" w:cs="宋体"/>
          <w:sz w:val="24"/>
          <w:vertAlign w:val="superscript"/>
        </w:rPr>
        <w:t>2</w:t>
      </w:r>
      <w:r>
        <w:rPr>
          <w:rFonts w:hint="eastAsia" w:ascii="宋体" w:hAnsi="宋体" w:eastAsia="宋体" w:cs="宋体"/>
          <w:sz w:val="24"/>
        </w:rPr>
        <w:t>/生，生均实验、实习场所面积4.35 m</w:t>
      </w:r>
      <w:r>
        <w:rPr>
          <w:rFonts w:hint="eastAsia" w:ascii="宋体" w:hAnsi="宋体" w:eastAsia="宋体" w:cs="宋体"/>
          <w:sz w:val="24"/>
          <w:vertAlign w:val="superscript"/>
        </w:rPr>
        <w:t>2</w:t>
      </w:r>
      <w:r>
        <w:rPr>
          <w:rFonts w:hint="eastAsia" w:ascii="宋体" w:hAnsi="宋体" w:eastAsia="宋体" w:cs="宋体"/>
          <w:sz w:val="24"/>
        </w:rPr>
        <w:t>/生，生均体育馆面积1.53 m</w:t>
      </w:r>
      <w:r>
        <w:rPr>
          <w:rFonts w:hint="eastAsia" w:ascii="宋体" w:hAnsi="宋体" w:eastAsia="宋体" w:cs="宋体"/>
          <w:sz w:val="24"/>
          <w:vertAlign w:val="superscript"/>
        </w:rPr>
        <w:t>2</w:t>
      </w:r>
      <w:r>
        <w:rPr>
          <w:rFonts w:hint="eastAsia" w:ascii="宋体" w:hAnsi="宋体" w:eastAsia="宋体" w:cs="宋体"/>
          <w:sz w:val="24"/>
        </w:rPr>
        <w:t>/生，生均运动场面积24.93 m</w:t>
      </w:r>
      <w:r>
        <w:rPr>
          <w:rFonts w:hint="eastAsia" w:ascii="宋体" w:hAnsi="宋体" w:eastAsia="宋体" w:cs="宋体"/>
          <w:sz w:val="24"/>
          <w:vertAlign w:val="superscript"/>
        </w:rPr>
        <w:t>2</w:t>
      </w:r>
      <w:r>
        <w:rPr>
          <w:rFonts w:hint="eastAsia" w:ascii="宋体" w:hAnsi="宋体" w:eastAsia="宋体" w:cs="宋体"/>
          <w:sz w:val="24"/>
        </w:rPr>
        <w:t>/生。详见表5。</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拥有大学生活动中心，可以容纳60余个社团，5000人规模进行文化交流活动。建有2个400米标准田径场（内含足球场）、1座综合性体育馆、1座综合性训练馆、高尔夫训练场和小九洞比赛场地各1片，室外还有22片篮球场、10片网球场，并有体质测试中心和健身中心，体育场馆设施建筑总面积251795.8平方米，运动场设施设备齐全，有效满足了体育教学、体育训练和课外体育活动的需要。</w:t>
      </w:r>
    </w:p>
    <w:p>
      <w:pPr>
        <w:adjustRightInd w:val="0"/>
        <w:snapToGrid w:val="0"/>
        <w:jc w:val="center"/>
        <w:rPr>
          <w:rFonts w:ascii="Calibri" w:hAnsi="Calibri"/>
          <w:b/>
          <w:bCs/>
          <w:sz w:val="24"/>
        </w:rPr>
      </w:pPr>
      <w:r>
        <w:rPr>
          <w:rFonts w:hint="eastAsia" w:ascii="宋体" w:hAnsi="宋体" w:eastAsia="宋体" w:cs="宋体"/>
          <w:b/>
          <w:bCs/>
          <w:sz w:val="24"/>
        </w:rPr>
        <w:t>表5 各生均面积详细情况</w:t>
      </w:r>
    </w:p>
    <w:tbl>
      <w:tblPr>
        <w:tblStyle w:val="10"/>
        <w:tblW w:w="92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1"/>
        <w:gridCol w:w="2881"/>
        <w:gridCol w:w="3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类别</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总面积（平方米）</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生均面积（平方米）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占地面积</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1378690</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建筑面积</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398220</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绿化面积</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523627</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55.94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教学行政用房面积</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217713.68</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实验、实习场所面积</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40669.82</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体育馆面积</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14280</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320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b/>
                <w:sz w:val="24"/>
              </w:rPr>
              <w:t>运动场面积</w:t>
            </w:r>
          </w:p>
        </w:tc>
        <w:tc>
          <w:tcPr>
            <w:tcW w:w="288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233389</w:t>
            </w:r>
          </w:p>
        </w:tc>
        <w:tc>
          <w:tcPr>
            <w:tcW w:w="32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jc w:val="center"/>
              <w:rPr>
                <w:rFonts w:ascii="Calibri" w:hAnsi="Calibri" w:eastAsia="宋体" w:cs="宋体"/>
                <w:sz w:val="24"/>
              </w:rPr>
            </w:pPr>
            <w:r>
              <w:rPr>
                <w:rFonts w:hint="eastAsia" w:ascii="宋体" w:hAnsi="宋体" w:eastAsia="宋体" w:cs="宋体"/>
                <w:sz w:val="24"/>
              </w:rPr>
              <w:t>24.93</w:t>
            </w:r>
          </w:p>
        </w:tc>
      </w:tr>
    </w:tbl>
    <w:p>
      <w:pPr>
        <w:pStyle w:val="4"/>
        <w:widowControl/>
        <w:adjustRightInd w:val="0"/>
        <w:snapToGrid w:val="0"/>
        <w:spacing w:before="0" w:after="0" w:line="240" w:lineRule="auto"/>
        <w:jc w:val="left"/>
        <w:rPr>
          <w:sz w:val="24"/>
          <w:szCs w:val="24"/>
        </w:rPr>
      </w:pPr>
      <w:r>
        <w:rPr>
          <w:rFonts w:hint="eastAsia" w:ascii="黑体" w:hAnsi="宋体" w:eastAsia="黑体" w:cs="黑体"/>
          <w:b w:val="0"/>
          <w:sz w:val="24"/>
          <w:szCs w:val="24"/>
        </w:rPr>
        <w:t xml:space="preserve">    </w:t>
      </w:r>
      <w:r>
        <w:rPr>
          <w:rFonts w:hint="eastAsia" w:ascii="黑体" w:hAnsi="宋体" w:eastAsia="黑体" w:cs="黑体"/>
          <w:sz w:val="24"/>
          <w:szCs w:val="24"/>
        </w:rPr>
        <w:t>2.教学科研仪器设备与教学实验室</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围绕应用型的办学定位，通过加大学校自有资金投入、利用中央财政专项发展资金以及产教融合校企合作的方式，不断加大实验（训）室建设力度。目前学校建有实验实训室165个，工程训练中心1个。近三年学校在实验室和实训基地建设方面</w:t>
      </w:r>
      <w:r>
        <w:rPr>
          <w:rFonts w:hint="eastAsia" w:ascii="宋体" w:hAnsi="宋体" w:eastAsia="宋体" w:cs="宋体"/>
          <w:color w:val="000000" w:themeColor="text1"/>
          <w:sz w:val="24"/>
        </w:rPr>
        <w:t>年均</w:t>
      </w:r>
      <w:r>
        <w:rPr>
          <w:rFonts w:hint="eastAsia" w:ascii="宋体" w:hAnsi="宋体" w:eastAsia="宋体" w:cs="宋体"/>
          <w:sz w:val="24"/>
        </w:rPr>
        <w:t>投入1000余万元，新建改建实验室5个。</w:t>
      </w:r>
    </w:p>
    <w:p>
      <w:pPr>
        <w:adjustRightInd w:val="0"/>
        <w:snapToGrid w:val="0"/>
        <w:ind w:firstLine="480" w:firstLineChars="200"/>
        <w:jc w:val="left"/>
        <w:rPr>
          <w:rFonts w:ascii="Calibri" w:hAnsi="Calibri"/>
          <w:sz w:val="24"/>
        </w:rPr>
      </w:pPr>
      <w:r>
        <w:rPr>
          <w:rFonts w:hint="eastAsia" w:ascii="宋体" w:hAnsi="宋体" w:eastAsia="宋体" w:cs="宋体"/>
          <w:sz w:val="24"/>
        </w:rPr>
        <w:t>学校现有教学、科研仪器设备资产总值1.44亿元，生均教学科研仪器设备值1.45万元。当年新增教学科研仪器设备值1102.06万元，新增值达到教学科研仪器设备总值的8.26%。</w:t>
      </w:r>
    </w:p>
    <w:p>
      <w:pPr>
        <w:adjustRightInd w:val="0"/>
        <w:snapToGrid w:val="0"/>
        <w:ind w:firstLine="480" w:firstLineChars="200"/>
        <w:rPr>
          <w:sz w:val="24"/>
        </w:rPr>
      </w:pPr>
      <w:r>
        <w:rPr>
          <w:rFonts w:hint="eastAsia" w:ascii="宋体" w:hAnsi="宋体" w:eastAsia="宋体" w:cs="宋体"/>
          <w:sz w:val="24"/>
        </w:rPr>
        <w:t>本科教学实验仪器设备3370台（套），合计总值0.532亿元，其中单价10万元以上的实验仪器设备81台（套），总值2724.65万元，按本科在校生9322人计算，本科生均实验仪器设备值5706.93元。</w:t>
      </w:r>
    </w:p>
    <w:p>
      <w:pPr>
        <w:pStyle w:val="4"/>
        <w:widowControl/>
        <w:adjustRightInd w:val="0"/>
        <w:snapToGrid w:val="0"/>
        <w:spacing w:before="0" w:after="0" w:line="240" w:lineRule="auto"/>
        <w:ind w:firstLine="482" w:firstLineChars="200"/>
        <w:jc w:val="left"/>
        <w:rPr>
          <w:sz w:val="24"/>
          <w:szCs w:val="24"/>
        </w:rPr>
      </w:pPr>
      <w:r>
        <w:rPr>
          <w:rFonts w:hint="eastAsia" w:ascii="黑体" w:hAnsi="宋体" w:eastAsia="黑体" w:cs="黑体"/>
          <w:sz w:val="24"/>
          <w:szCs w:val="24"/>
        </w:rPr>
        <w:t>3.图书馆及图书资源</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截至2018年底，学校拥有图书馆1个，图书馆总面积达到26724m</w:t>
      </w:r>
      <w:r>
        <w:rPr>
          <w:rFonts w:hint="eastAsia" w:ascii="宋体" w:hAnsi="宋体" w:eastAsia="宋体" w:cs="宋体"/>
          <w:sz w:val="24"/>
          <w:vertAlign w:val="superscript"/>
        </w:rPr>
        <w:t>2</w:t>
      </w:r>
      <w:r>
        <w:rPr>
          <w:rFonts w:hint="eastAsia" w:ascii="宋体" w:hAnsi="宋体" w:eastAsia="宋体" w:cs="宋体"/>
          <w:sz w:val="24"/>
        </w:rPr>
        <w:t>，阅览室座位数3204个。图书馆拥有纸质图书162.447万册，当年新增34094册，生均纸质图书162.67册；拥有电子期刊0.85万册，学位论文390万册，音视频56013小时。2018年图书流通量达到6.283万本册，电子资源访问量214.535万次，当年电子资源下载量24.351万篇次。图书馆建立了清华同方全文期刊镜像站和知识网络服务一级站，中文电子资源包括清华同方中国科技期刊全文数据库、人大复印报刊资料数据库、新东方多媒体学习库、中科VIPExam考试学习资源数据库、EBM外文文献库、畅想之星光盘数据库、超星数字图书馆等。</w:t>
      </w:r>
    </w:p>
    <w:p>
      <w:pPr>
        <w:pStyle w:val="4"/>
        <w:widowControl/>
        <w:adjustRightInd w:val="0"/>
        <w:snapToGrid w:val="0"/>
        <w:spacing w:before="0" w:after="0" w:line="240" w:lineRule="auto"/>
        <w:ind w:firstLine="482" w:firstLineChars="200"/>
        <w:jc w:val="left"/>
        <w:rPr>
          <w:sz w:val="24"/>
          <w:szCs w:val="24"/>
        </w:rPr>
      </w:pPr>
      <w:r>
        <w:rPr>
          <w:rFonts w:hint="eastAsia" w:ascii="黑体" w:hAnsi="宋体" w:eastAsia="黑体" w:cs="黑体"/>
          <w:sz w:val="24"/>
          <w:szCs w:val="24"/>
        </w:rPr>
        <w:t>4.信息资源</w:t>
      </w:r>
    </w:p>
    <w:p>
      <w:pPr>
        <w:adjustRightInd w:val="0"/>
        <w:snapToGrid w:val="0"/>
        <w:ind w:firstLine="480" w:firstLineChars="200"/>
      </w:pPr>
      <w:r>
        <w:rPr>
          <w:rFonts w:hint="eastAsia" w:ascii="宋体" w:hAnsi="宋体" w:eastAsia="宋体" w:cs="宋体"/>
          <w:sz w:val="24"/>
        </w:rPr>
        <w:t xml:space="preserve">学校有信息化工作人员8人。校园网采用了双核心、汇聚千兆上联到骨干网络的性能优良的网络架构，实现了全校用户千兆到桌面，覆盖了全校办公区、教学区、学生宿舍区。提供了域名解析、电子邮件服务、网络办公、教学科研等 Internet 服务，运行着办公自动化系统、教务管理系统、电子图书系统、财务一卡通系统、资产管理系统、网上评教系统、学生管理系统等管理信息系统。在校学生都可以在宿舍、教学区接入校园网，完成网上学习、选课、课件下载、资料查阅、网上评教等各种用网操作。截止至 </w:t>
      </w:r>
      <w:r>
        <w:rPr>
          <w:rFonts w:ascii="Calibri" w:hAnsi="Calibri" w:eastAsia="宋体" w:cs="Times New Roman"/>
          <w:sz w:val="24"/>
        </w:rPr>
        <w:t>2019</w:t>
      </w:r>
      <w:r>
        <w:rPr>
          <w:rFonts w:hint="eastAsia" w:ascii="宋体" w:hAnsi="宋体" w:eastAsia="宋体" w:cs="宋体"/>
          <w:sz w:val="24"/>
        </w:rPr>
        <w:t>年</w:t>
      </w:r>
      <w:r>
        <w:rPr>
          <w:rFonts w:ascii="Calibri" w:hAnsi="Calibri" w:eastAsia="宋体" w:cs="Times New Roman"/>
          <w:sz w:val="24"/>
        </w:rPr>
        <w:t>9</w:t>
      </w:r>
      <w:r>
        <w:rPr>
          <w:rFonts w:hint="eastAsia" w:ascii="宋体" w:hAnsi="宋体" w:eastAsia="宋体" w:cs="宋体"/>
          <w:sz w:val="24"/>
        </w:rPr>
        <w:t>月，学校校园网主干带宽达到2000Mbps。校园网出口带宽8000Mbps。网络接入信息点数量16903个。电子邮件系统用户数687个。管理信息系统数据总量84.17GB。多出口线路有效地保证了全校师生教学科研活动的需要。</w:t>
      </w:r>
    </w:p>
    <w:p>
      <w:pPr>
        <w:adjustRightInd w:val="0"/>
        <w:snapToGrid w:val="0"/>
        <w:jc w:val="left"/>
      </w:pPr>
    </w:p>
    <w:p>
      <w:pPr>
        <w:pStyle w:val="2"/>
        <w:widowControl/>
        <w:adjustRightInd w:val="0"/>
        <w:snapToGrid w:val="0"/>
        <w:spacing w:before="0" w:after="0" w:line="240" w:lineRule="auto"/>
        <w:jc w:val="left"/>
        <w:rPr>
          <w:rFonts w:ascii="黑体" w:hAnsi="黑体" w:eastAsia="黑体" w:cs="黑体"/>
          <w:sz w:val="30"/>
          <w:szCs w:val="30"/>
        </w:rPr>
      </w:pPr>
      <w:r>
        <w:rPr>
          <w:rFonts w:hint="eastAsia" w:ascii="黑体" w:hAnsi="黑体" w:eastAsia="黑体" w:cs="黑体"/>
          <w:sz w:val="30"/>
          <w:szCs w:val="30"/>
        </w:rPr>
        <w:t>三、教学建设与改革</w:t>
      </w: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（一）专业建设</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我校现有5个省部级优势专业， 1个省级一流专业。当年学校招生的本科专业36个，停招的校内专业2个，停招的校内专业分别是：材料物理,能源与动力工程。</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我校专业带头人总人数为37人，其中具有高级职称的30人，所占比例为81.08%，获得博士学位的8人，所占比例为21.62%。</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根据江西大力实施以新型工业化为核心的发展战略以及新余建设新型工业城市的目标这一发展需求，不断调整优化专业结构,逐步形成了以工学为主导、文理为基础、新能源类专业为特色、多学科协调发展的学科专业体系。2019年增设了机器人工程、智能科学与技术、经济统计学、网络与新媒体四个社会急需的新专业。</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学校积极响应新余市委、市政府出台的《</w:t>
      </w:r>
      <w:r>
        <w:rPr>
          <w:rFonts w:hint="eastAsia" w:ascii="宋体" w:hAnsi="宋体" w:eastAsia="宋体" w:cs="宋体"/>
          <w:sz w:val="24"/>
          <w:lang w:eastAsia="zh-CN"/>
        </w:rPr>
        <w:t>关于</w:t>
      </w:r>
      <w:r>
        <w:rPr>
          <w:rFonts w:hint="eastAsia" w:ascii="宋体" w:hAnsi="宋体" w:eastAsia="宋体" w:cs="宋体"/>
          <w:sz w:val="24"/>
        </w:rPr>
        <w:t>支持新余学院发展三十条措施》（余发〔2018〕17号），按照“对接地方优势产业，服务新余发展大局”的思路，紧紧围绕新余经济社会发展中的重点领域、重点行业和重点课题，以推进转型发展为契机，通过校地（企）深度合作、产教深度融合，继续加大专业集群建设，重点建设五个特色专业群：一是对接新余市的新能源、新材料支柱产业的新能源材料与工程专业群；二是对接新余市的钢铁支柱产业的装备制造类专业群；三是对接新余智慧城市建设、加快引进和培育光电信息等新兴产业所需的光电信息通信技术类专业群；四是促进新余做大做强现代服务业所需的经济管理类专业群；五是挖掘传承新余本土文化所需的文化创意专业群。</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认真落实新时代全国高等学校本科教育工作会议精神，以习近平新时代中国特色社会主义思想为指导，全面落实立德树人根本任务，着力培养德智体美劳全面发展的社会主义建设者和接班人，修订完善2018版本科专业人才培养方案及各课程教学大纲。大力推进《新余学院教学质量三年提升计划》，实施教育理念升华、专业建设提升、课程建设提升、实践教学提升、创新创业教育提升、教学改革与成果培育提升、教育教学质量保障体系建设提升、考核评价和教学激励提升等 “八大工程”。大力推进“计算机科学与技术”一流专业建设，积极推进学校专业认证工作，不断强化本科教学工作内涵建设：重点推进以数学与计算机学院的“计算机科学与技术”、新能源科学与工程学院的“新能源材料与器件”和机电工程学院的“电气工程及其自动化”为试点的工程教育专业认证建设工作；结合江西省教育厅关于开展师范专业论证的通知，狠抓6个师范专业的内涵建设。</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2019级本科培养方案中，各学科培养方案学分统计如下表6所示。</w:t>
      </w:r>
    </w:p>
    <w:p>
      <w:pPr>
        <w:adjustRightInd w:val="0"/>
        <w:snapToGrid w:val="0"/>
        <w:jc w:val="center"/>
        <w:rPr>
          <w:rFonts w:ascii="宋体" w:hAnsi="宋体" w:eastAsia="宋体" w:cs="宋体"/>
          <w:sz w:val="24"/>
        </w:rPr>
      </w:pPr>
      <w:r>
        <w:rPr>
          <w:rFonts w:hint="eastAsia" w:ascii="宋体" w:hAnsi="宋体" w:eastAsia="宋体" w:cs="宋体"/>
          <w:b/>
          <w:bCs/>
          <w:sz w:val="24"/>
        </w:rPr>
        <w:t>表6  全校各学科2019级培养方案本科专业培养方案学分统计表</w:t>
      </w:r>
    </w:p>
    <w:tbl>
      <w:tblPr>
        <w:tblStyle w:val="11"/>
        <w:tblW w:w="851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5"/>
        <w:gridCol w:w="1065"/>
        <w:gridCol w:w="1064"/>
        <w:gridCol w:w="1064"/>
        <w:gridCol w:w="1064"/>
        <w:gridCol w:w="1064"/>
        <w:gridCol w:w="1064"/>
        <w:gridCol w:w="10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学科</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必修课学分比例（%）</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选修课学分比例（%）</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集中性实践教学学分比例（%）</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学科</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必修课学分比例（%）</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选修课学分比例（%）</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实践教学学分比例（%）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哲学</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理学</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74.19</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18.79</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28.47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经济学</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84.34</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15.66</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17.47</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工学</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81.65</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18.35</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24.41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法学</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农学</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教育学</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65.54</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27.33</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29.90</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医学</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72.37</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22.02</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文学</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59.12</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19.26</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21.62</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管理学</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78.85</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21.15</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19.68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历史学</w:t>
            </w:r>
          </w:p>
        </w:tc>
        <w:tc>
          <w:tcPr>
            <w:tcW w:w="1065"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艺术学</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51.34</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21.04</w:t>
            </w:r>
          </w:p>
        </w:tc>
        <w:tc>
          <w:tcPr>
            <w:tcW w:w="1064"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22.24</w:t>
            </w:r>
          </w:p>
        </w:tc>
      </w:tr>
    </w:tbl>
    <w:p>
      <w:pPr>
        <w:adjustRightInd w:val="0"/>
        <w:snapToGrid w:val="0"/>
        <w:jc w:val="left"/>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（二）课程建设</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按照《新余学院在线开放课程建设与管理办法（试行）》要求，重点建设精品在线开放课程、示范课程和应用型课程，2门省级精品在线开放课程通过省厅认定并正式上线供全省学子选课，1门课程获批立项为省高校课程育人共享计划课程。加大“双语”课程、探究式课程、项目驱动式课程等课程教学改革力度；将创新创业教育课程融入到人才培养方案中，在完成规定学分设置的同时，要求在专业课中至少开设两门融合创新创业内容的选修课程。</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根据培养目标要求和学生个性发展需求，不断拓展通识选修课教育资源，丰富选修课程种类，打造以校本特色选修课、网络精品公选课和“通识教育大讲堂”共同形成的“三位一体”公选课平台。鼓励教师申请开设具有校本特色的选修课程，多开、增开与地方经济社会发展结合紧密的特色课程，加大高质量优质网络公选课和精品在线开放课程的建设和引入，推进“通识教育大讲堂”的建设与应用。充分利用信息技术的支持，增强教学计划的弹性，给予学生更大的选课空间，实现选修课程的在线化、多元化、专题化、多样化，全方位、多角度拓展学生的知识面、提升学生的综合素质。</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高度重视思政课程的建设。按照习近平总书记在全国高校思想政治工作会议上“要运用新媒体新技术使工作活起来，推动思想政治工作传统优势同信息技术高度融合，增强时代感和吸引力”的指示，发布了《新余学院课程思政教学改革实施方案》，积极推进1门江西省高校“课程思政”示范课程项目《管理学》课程建设，立项3门校级“课程思政”示范课程；建立了数字马克思主义学院网站，成为师生学习、研究和传播马克思主义的线上平台，同时积极探索研究VR（虚拟现实）技术融入思想政治理论课教学的方法与策略，计划投入500万元建设VR思政课程研发中心，申报加入教育部学校规划发展建设中心推动的“VR世界实验室”首批试点学校，并单列50万元专项资金专门用于思政课VR教改研究，力争使我校的VR思政课堂成为省内一流、全国领先的新媒体技术思政教学平台。</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我校已建设有1门省级精品在线开放课程，SPOC课程75门，省高校课程育人共享计划立项课程1门。</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本学年，学校开设本科生公共必修课、公共选修课、专业课</w:t>
      </w:r>
      <w:r>
        <w:rPr>
          <w:rFonts w:hint="eastAsia" w:ascii="宋体" w:hAnsi="宋体" w:eastAsia="宋体" w:cs="宋体"/>
          <w:sz w:val="24"/>
          <w:lang w:eastAsia="zh-CN"/>
        </w:rPr>
        <w:t>共</w:t>
      </w:r>
      <w:r>
        <w:rPr>
          <w:rFonts w:hint="eastAsia" w:ascii="宋体" w:hAnsi="宋体" w:eastAsia="宋体" w:cs="宋体"/>
          <w:sz w:val="24"/>
        </w:rPr>
        <w:t>1255门、3349门次。</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近两学年班额统计情况详见表7。</w:t>
      </w:r>
    </w:p>
    <w:p>
      <w:pPr>
        <w:adjustRightInd w:val="0"/>
        <w:snapToGrid w:val="0"/>
        <w:ind w:firstLine="480" w:firstLineChars="200"/>
        <w:rPr>
          <w:rFonts w:ascii="宋体" w:hAnsi="宋体" w:eastAsia="宋体" w:cs="宋体"/>
          <w:sz w:val="24"/>
        </w:rPr>
      </w:pPr>
    </w:p>
    <w:p>
      <w:pPr>
        <w:adjustRightInd w:val="0"/>
        <w:snapToGrid w:val="0"/>
        <w:jc w:val="center"/>
        <w:rPr>
          <w:rFonts w:ascii="宋体" w:hAnsi="宋体" w:eastAsia="宋体" w:cs="宋体"/>
          <w:b/>
          <w:bCs/>
          <w:sz w:val="24"/>
        </w:rPr>
      </w:pPr>
      <w:r>
        <w:rPr>
          <w:rFonts w:hint="eastAsia" w:ascii="宋体" w:hAnsi="宋体" w:eastAsia="宋体" w:cs="宋体"/>
          <w:b/>
          <w:bCs/>
          <w:sz w:val="24"/>
        </w:rPr>
        <w:t>表7  近两学年班额统计情况</w:t>
      </w:r>
    </w:p>
    <w:tbl>
      <w:tblPr>
        <w:tblStyle w:val="11"/>
        <w:tblW w:w="851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3"/>
        <w:gridCol w:w="1277"/>
        <w:gridCol w:w="2130"/>
        <w:gridCol w:w="2130"/>
        <w:gridCol w:w="12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班额</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公共必修课（%）</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公共选修课（%）</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专业课（%）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restart"/>
            <w:tcBorders>
              <w:top w:val="nil"/>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30人及以下</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本学年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4.42</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4.76</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27.85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continue"/>
            <w:tcBorders>
              <w:top w:val="nil"/>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Cs w:val="22"/>
              </w:rPr>
            </w:pP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上学年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1.4</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48.28</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17.45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restart"/>
            <w:tcBorders>
              <w:top w:val="nil"/>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31-60人</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本学年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70.95</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94.05</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66.13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continue"/>
            <w:tcBorders>
              <w:top w:val="nil"/>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Cs w:val="22"/>
              </w:rPr>
            </w:pP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上学年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56.3</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37.93</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73.22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restart"/>
            <w:tcBorders>
              <w:top w:val="nil"/>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61-90人</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本学年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18</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0</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4.65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continue"/>
            <w:tcBorders>
              <w:top w:val="nil"/>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Cs w:val="22"/>
              </w:rPr>
            </w:pP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上学年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31.93</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6.9</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7.32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restart"/>
            <w:tcBorders>
              <w:top w:val="nil"/>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90人以上</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本学年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6.63</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1.19</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vMerge w:val="continue"/>
            <w:tcBorders>
              <w:top w:val="nil"/>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Cs w:val="22"/>
              </w:rPr>
            </w:pP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上学年</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10.36</w:t>
            </w:r>
          </w:p>
        </w:tc>
        <w:tc>
          <w:tcPr>
            <w:tcW w:w="2130"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6.9</w:t>
            </w:r>
          </w:p>
        </w:tc>
        <w:tc>
          <w:tcPr>
            <w:tcW w:w="1277"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2.01</w:t>
            </w:r>
          </w:p>
        </w:tc>
      </w:tr>
    </w:tbl>
    <w:p>
      <w:pPr>
        <w:adjustRightInd w:val="0"/>
        <w:snapToGrid w:val="0"/>
        <w:jc w:val="left"/>
      </w:pPr>
      <w:r>
        <w:rPr>
          <w:rFonts w:hint="eastAsia" w:ascii="宋体" w:hAnsi="宋体" w:eastAsia="宋体" w:cs="宋体"/>
          <w:sz w:val="24"/>
        </w:rPr>
        <w:tab/>
      </w:r>
      <w:r>
        <w:rPr>
          <w:rFonts w:hint="eastAsia" w:ascii="宋体" w:hAnsi="宋体" w:eastAsia="宋体" w:cs="宋体"/>
          <w:sz w:val="24"/>
          <w:lang w:val="en-US" w:eastAsia="zh-CN"/>
        </w:rPr>
        <w:t xml:space="preserve"> </w:t>
      </w:r>
      <w:r>
        <w:rPr>
          <w:rFonts w:hint="eastAsia" w:ascii="仿宋" w:hAnsi="仿宋" w:eastAsia="仿宋" w:cs="仿宋"/>
          <w:sz w:val="24"/>
        </w:rPr>
        <w:t>注</w:t>
      </w:r>
      <w:r>
        <w:rPr>
          <w:rFonts w:hint="eastAsia" w:ascii="仿宋" w:hAnsi="仿宋" w:eastAsia="仿宋" w:cs="仿宋"/>
          <w:sz w:val="24"/>
          <w:lang w:eastAsia="zh-CN"/>
        </w:rPr>
        <w:t>：</w:t>
      </w:r>
      <w:r>
        <w:rPr>
          <w:rFonts w:hint="eastAsia" w:ascii="仿宋" w:hAnsi="仿宋" w:eastAsia="仿宋" w:cs="仿宋"/>
          <w:sz w:val="24"/>
        </w:rPr>
        <w:t>此表不统计网络授课。</w:t>
      </w:r>
    </w:p>
    <w:p>
      <w:pPr>
        <w:pStyle w:val="3"/>
        <w:widowControl/>
        <w:adjustRightInd w:val="0"/>
        <w:snapToGrid w:val="0"/>
        <w:spacing w:before="0" w:after="0" w:line="240" w:lineRule="auto"/>
        <w:jc w:val="left"/>
        <w:rPr>
          <w:rFonts w:ascii="黑体" w:hAnsi="宋体" w:eastAsia="黑体" w:cs="黑体"/>
          <w:sz w:val="28"/>
          <w:szCs w:val="28"/>
        </w:rPr>
      </w:pPr>
    </w:p>
    <w:p>
      <w:pPr>
        <w:pStyle w:val="3"/>
        <w:widowControl/>
        <w:adjustRightInd w:val="0"/>
        <w:snapToGrid w:val="0"/>
        <w:spacing w:before="0" w:after="0" w:line="240" w:lineRule="auto"/>
        <w:ind w:firstLine="280" w:firstLineChars="100"/>
        <w:jc w:val="left"/>
        <w:rPr>
          <w:b w:val="0"/>
          <w:bCs/>
        </w:rPr>
      </w:pPr>
      <w:r>
        <w:rPr>
          <w:rFonts w:hint="eastAsia" w:ascii="黑体" w:hAnsi="宋体" w:eastAsia="黑体" w:cs="黑体"/>
          <w:b w:val="0"/>
          <w:bCs/>
          <w:sz w:val="28"/>
          <w:szCs w:val="28"/>
        </w:rPr>
        <w:t>（三）教材建设</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学校重视教材的选用和管理工作，制定的《新余学院教材管理办法》规范了教材征订、补订工作，明确了教师初选、教研室论证、二级学院审批、学校审定的教材选用模式。</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在征订教材过程中，对征订教材的获奖情况、使用新教材的情况进行严格把关，教材一律选用国家十一五、十二五、十三五规划教材及省部级规划或获奖教材，选用获奖教材的比例大部分学院达到90%，使用近三年出版的新教材情况也在稳步上升。</w:t>
      </w:r>
    </w:p>
    <w:p>
      <w:pPr>
        <w:adjustRightInd w:val="0"/>
        <w:snapToGrid w:val="0"/>
        <w:ind w:firstLine="480" w:firstLineChars="200"/>
        <w:rPr>
          <w:rFonts w:ascii="Calibri" w:hAnsi="Calibri"/>
          <w:szCs w:val="21"/>
        </w:rPr>
      </w:pPr>
      <w:r>
        <w:rPr>
          <w:rFonts w:hint="eastAsia" w:ascii="宋体" w:hAnsi="宋体" w:eastAsia="宋体" w:cs="宋体"/>
          <w:sz w:val="24"/>
        </w:rPr>
        <w:t>学校鼓励教师编写符合应用型人才培养的特色教材，2018年，共出版教材8种（本校教师作为第一主编）。</w:t>
      </w:r>
    </w:p>
    <w:p>
      <w:pPr>
        <w:adjustRightInd w:val="0"/>
        <w:snapToGrid w:val="0"/>
        <w:jc w:val="left"/>
      </w:pPr>
    </w:p>
    <w:p>
      <w:pPr>
        <w:pStyle w:val="3"/>
        <w:widowControl/>
        <w:adjustRightInd w:val="0"/>
        <w:snapToGrid w:val="0"/>
        <w:spacing w:before="0" w:after="0" w:line="240" w:lineRule="auto"/>
        <w:ind w:firstLine="280" w:firstLineChars="100"/>
        <w:jc w:val="left"/>
        <w:rPr>
          <w:b w:val="0"/>
          <w:bCs/>
        </w:rPr>
      </w:pPr>
      <w:r>
        <w:rPr>
          <w:rFonts w:hint="eastAsia" w:ascii="黑体" w:hAnsi="宋体" w:eastAsia="黑体" w:cs="黑体"/>
          <w:b w:val="0"/>
          <w:bCs/>
          <w:sz w:val="28"/>
          <w:szCs w:val="28"/>
        </w:rPr>
        <w:t>（四）实践教学</w:t>
      </w:r>
    </w:p>
    <w:p>
      <w:pPr>
        <w:pStyle w:val="4"/>
        <w:widowControl/>
        <w:adjustRightInd w:val="0"/>
        <w:snapToGrid w:val="0"/>
        <w:spacing w:before="0" w:after="0" w:line="240" w:lineRule="auto"/>
        <w:ind w:firstLine="482" w:firstLineChars="200"/>
        <w:jc w:val="left"/>
      </w:pPr>
      <w:r>
        <w:rPr>
          <w:rFonts w:hint="eastAsia" w:ascii="黑体" w:hAnsi="宋体" w:eastAsia="黑体" w:cs="黑体"/>
          <w:sz w:val="24"/>
          <w:szCs w:val="24"/>
        </w:rPr>
        <w:t>1.实验教学</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一年来，学校加大了实验室建设力度，不断强化实验教学管理。目前，学校建有实验实训室165个，工程训练中心1个。制定了《新余学院实验教学管理规定》等制度，要求根据培养方案修订实验教学大纲，严格按计划开出实验项目。本学年本科生开设实验的专业课程共计240门，其中独立设置的专业实验课程60门。</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制订了《新余学院综合性、设计性、创新性实验认定指导意见》《新余学院开放实验室认定办法》《新余学院开放实验室管理办法》等制度，要求开设一定数量的综合性、设计性、创新性实验，鼓励二级学院通过资源整合等途径扩大现有实验室的开放率，鼓励学生进入开放实验室。电子实训室等17个实验室被认定为第一批示范性开放实验室。</w:t>
      </w:r>
    </w:p>
    <w:p>
      <w:pPr>
        <w:adjustRightInd w:val="0"/>
        <w:snapToGrid w:val="0"/>
        <w:ind w:firstLine="200"/>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本学年本科生开设实验的专业课程共计240门，其中独立设置的专业实验课程60门。</w:t>
      </w:r>
    </w:p>
    <w:p>
      <w:pPr>
        <w:adjustRightInd w:val="0"/>
        <w:snapToGrid w:val="0"/>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学校有实验技术人员47人，具有高级职称5人，所占比例为10.64%，具有硕士及以上学位25人，所占比例为53.19%。</w:t>
      </w:r>
    </w:p>
    <w:p>
      <w:pPr>
        <w:adjustRightInd w:val="0"/>
        <w:snapToGrid w:val="0"/>
        <w:ind w:firstLine="480" w:firstLineChars="200"/>
        <w:rPr>
          <w:rFonts w:asciiTheme="minorEastAsia" w:hAnsiTheme="minorEastAsia" w:cstheme="minorEastAsia"/>
          <w:bCs/>
          <w:sz w:val="24"/>
        </w:rPr>
      </w:pPr>
      <w:r>
        <w:rPr>
          <w:rFonts w:hint="eastAsia" w:asciiTheme="minorEastAsia" w:hAnsiTheme="minorEastAsia" w:cstheme="minorEastAsia"/>
          <w:bCs/>
          <w:sz w:val="24"/>
        </w:rPr>
        <w:t>加强实践教学条件建设，推进实践教学提升工程。经管学院数据统计分析实验室（30万）、中兴学院信息工程实验中心四个实验室（250万）、机电工程学院三维数字设计实验室、轻合金塑性成型实验室二个实验室（236万）共计七个实验室目前均已进入建设尾声</w:t>
      </w:r>
      <w:r>
        <w:rPr>
          <w:rFonts w:hint="eastAsia" w:asciiTheme="minorEastAsia" w:hAnsiTheme="minorEastAsia" w:cstheme="minorEastAsia"/>
          <w:bCs/>
          <w:sz w:val="24"/>
          <w:lang w:eastAsia="zh-CN"/>
        </w:rPr>
        <w:t>。</w:t>
      </w:r>
      <w:r>
        <w:rPr>
          <w:rFonts w:hint="eastAsia" w:asciiTheme="minorEastAsia" w:hAnsiTheme="minorEastAsia" w:cstheme="minorEastAsia"/>
          <w:bCs/>
          <w:sz w:val="24"/>
        </w:rPr>
        <w:t>大力开展工程训练实践教学内容和方法的改革，先后新建了“数控虚拟仿真”实训项目、“移动机器人”实训项目和“组合、拼装夹具拆装”实训项目；建立体现个性化教育和创新型学习的实践创新体系，设置了创新实训室，配备了3D打印机，三合一一体机（3D打印、CNC雕刻、激光雕刻），智能移动机器人、无碳小车等一批装备，用于学生第二课堂兴趣班学生操作和锻炼。</w:t>
      </w:r>
    </w:p>
    <w:p>
      <w:pPr>
        <w:adjustRightInd w:val="0"/>
        <w:snapToGrid w:val="0"/>
        <w:ind w:firstLine="480" w:firstLineChars="200"/>
        <w:rPr>
          <w:rFonts w:asciiTheme="minorEastAsia" w:hAnsiTheme="minorEastAsia" w:cstheme="minorEastAsia"/>
          <w:bCs/>
          <w:sz w:val="24"/>
        </w:rPr>
      </w:pPr>
    </w:p>
    <w:p>
      <w:pPr>
        <w:pStyle w:val="4"/>
        <w:widowControl/>
        <w:adjustRightInd w:val="0"/>
        <w:snapToGrid w:val="0"/>
        <w:spacing w:before="0" w:after="0" w:line="240" w:lineRule="auto"/>
        <w:ind w:firstLine="482" w:firstLineChars="200"/>
        <w:jc w:val="left"/>
      </w:pPr>
      <w:r>
        <w:rPr>
          <w:rFonts w:hint="eastAsia" w:ascii="黑体" w:hAnsi="宋体" w:eastAsia="黑体" w:cs="黑体"/>
          <w:sz w:val="24"/>
          <w:szCs w:val="24"/>
        </w:rPr>
        <w:t>2.本科生毕业设计（论文）</w:t>
      </w:r>
    </w:p>
    <w:p>
      <w:pPr>
        <w:adjustRightInd w:val="0"/>
        <w:snapToGrid w:val="0"/>
        <w:ind w:firstLine="480" w:firstLineChars="200"/>
        <w:rPr>
          <w:rFonts w:hint="eastAsia" w:ascii="宋体" w:hAnsi="宋体" w:eastAsia="宋体" w:cs="宋体"/>
          <w:sz w:val="24"/>
          <w:lang w:eastAsia="zh-CN"/>
        </w:rPr>
      </w:pPr>
      <w:r>
        <w:rPr>
          <w:rFonts w:hint="eastAsia" w:ascii="宋体" w:hAnsi="宋体" w:eastAsia="宋体" w:cs="宋体"/>
          <w:sz w:val="24"/>
        </w:rPr>
        <w:t>学校制定了《新余学院本科生毕业设计（论文）工作指导意见》、《新余学院本科毕业设计（论文）撰写规范》，明确了毕业设计（论文）撰写规范，强调毕业设计（论文）的选题注重与工程实践、生产、社会相结合，也可以结合教师科研课题，力求做到真题真做</w:t>
      </w:r>
      <w:r>
        <w:rPr>
          <w:rFonts w:hint="eastAsia" w:ascii="宋体" w:hAnsi="宋体" w:eastAsia="宋体" w:cs="宋体"/>
          <w:sz w:val="24"/>
          <w:lang w:eastAsia="zh-CN"/>
        </w:rPr>
        <w:t>。</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本学年共提供了1265个选题供学生选做毕业设计（论文）。我校共有267名教师参与了本科生毕业设计（论文）的指导工作，指导教师具有副高级以上职称的人数比例占38.95%，学校还聘请了13位外聘教师担任指导老师。平均每位教师指导学生人数为3.80人。</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坚持使用“大学生论文抄袭检测系统”（中国知网和维普查重系统）对所有毕业设计（论文）进行检测，检测结果中“文字复制比”必须低于30%，杜绝毕业设计（论文）买卖、代写等作假行为，保证了毕业设计（论文）的质量。</w:t>
      </w:r>
    </w:p>
    <w:p>
      <w:pPr>
        <w:adjustRightInd w:val="0"/>
        <w:snapToGrid w:val="0"/>
        <w:ind w:firstLine="480" w:firstLineChars="200"/>
        <w:rPr>
          <w:rFonts w:ascii="Calibri" w:hAnsi="Calibri"/>
          <w:szCs w:val="21"/>
        </w:rPr>
      </w:pPr>
      <w:r>
        <w:rPr>
          <w:rFonts w:hint="eastAsia" w:ascii="宋体" w:hAnsi="宋体" w:eastAsia="宋体" w:cs="宋体"/>
          <w:sz w:val="24"/>
        </w:rPr>
        <w:t>2018-2019学年共有8篇优秀毕业论文在期刊发表。音乐学、播音与主持艺术、视觉传达设计、环境设计等专业的毕业晚会、毕业设计作品备受各方瞩目，师生反响热烈。</w:t>
      </w:r>
    </w:p>
    <w:p>
      <w:pPr>
        <w:pStyle w:val="4"/>
        <w:widowControl/>
        <w:adjustRightInd w:val="0"/>
        <w:snapToGrid w:val="0"/>
        <w:spacing w:before="0" w:after="0" w:line="240" w:lineRule="auto"/>
        <w:ind w:firstLine="482" w:firstLineChars="200"/>
        <w:jc w:val="left"/>
        <w:rPr>
          <w:rFonts w:ascii="黑体" w:hAnsi="宋体" w:eastAsia="黑体" w:cs="黑体"/>
          <w:sz w:val="24"/>
          <w:szCs w:val="24"/>
        </w:rPr>
      </w:pPr>
    </w:p>
    <w:p>
      <w:pPr>
        <w:pStyle w:val="4"/>
        <w:widowControl/>
        <w:adjustRightInd w:val="0"/>
        <w:snapToGrid w:val="0"/>
        <w:spacing w:before="0" w:after="0" w:line="240" w:lineRule="auto"/>
        <w:ind w:firstLine="482" w:firstLineChars="200"/>
        <w:jc w:val="left"/>
      </w:pPr>
      <w:r>
        <w:rPr>
          <w:rFonts w:hint="eastAsia" w:ascii="黑体" w:hAnsi="宋体" w:eastAsia="黑体" w:cs="黑体"/>
          <w:sz w:val="24"/>
          <w:szCs w:val="24"/>
        </w:rPr>
        <w:t>3.实习与教学实践基地</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学校现有校外实习、实训基地150个，本学年共接纳学生6029人次。</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实习实训工作有序开展。一是搭建平台，与企事业单位密切合作关系。2014年成立了新余学院合作发展联盟和产教融合发展中心。采用“学校搭台、企业入驻、产教融合”的模式建设，企业项目入驻学校，师生参与项目运行，专业老师和企业导师共同指导学生。目前入驻企业10家，进驻项目10个。2016年，为进一步提升学校服务区域经济社会发展的能力和水平，学校举行校地合作专项行动对接会，40余家企业参加会议，学校与15家企业签署了合作协议。2017年，学校启动推进“11311工程”，进一步贯彻“产教融合、校企合作、协同创新、协同育人”的人才培养新理念。通过以上平台的搭建，学校和多家企事业单位建立了紧密的合作关系，合作范围涉及产学研各个方面。二是保障到位，实习实训工作效果良好。学校通过实施《新余学院实习工作管理办法》《关于加强和改进实践教学的若干意见》《新余学院实习基地建设管理规定》等制度，对实习实训工作进行规范管理，时间和经费保障到位。学校面向全体工科专业开设工程实训，非机类专业1-2 周、机类专业3-4 周，目的是培养学生的工程意识，形成严谨求实的科学态度和团结协作的团队精神。为确保实习良好效果，各二级学院按照培养方案和实习大纲精心组织，同时加强督导检查力度，并做好实习的组织纪律管理、安全教育、成绩考核等工作。师范专业实习由学校统筹安排。学校出台了《新余学院实习经费管理办法》，每年安排实习、实训专项经费，规定医学类本科生1200元/人，艺术类本科生1000元/人，其它专业本科生800元/人。</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社会实践开展良好。一是确保效果，社会实践纳入培养方案。学校将社会实践纳入培养方案，出台了《新余学院第二课堂实践教学实施方案》，要求每个学生毕业必须修满10个学分的创新创业实践学分，其中每个学生暑假期间参加社会实践活动的时间累积不少于4周、计4学分。为了顺利开展暑期社会实践活动，学校设立专项经费予以保障，出台政策鼓励教师参与指导，明确了教师指导大学生开展社会实践活动，按1.5分/团队/天计算公益服务分。二是大力拓展，社会实践活动丰富多彩。根据“打造三个平台、强化两种能力、明确一个目标”的工作思路即打造社会实践、创新创业和公益实践三个平台，强化学生的实践动手能力和参与社会活动能力，明确要培养出适应社会需求的应用型人才的目标，学校依托校地合作，大力拓展社会实践平台。学校师生参与社会实践的积极性不断提高，成效明显提升。在2018－2019学年参与校级学科技能竞赛学生15398人次，参与省级学科技能竞赛2131人次，参与指导教师人数为308人；创新项目学生参与514人次，参与创新项目指导老师人数126人。2019年，学校围绕“青春大学习•奋斗新时代”主题，组织了18支志愿服务团队，有32位老师参与指导，共276名学生参加团队实践，分别赴陕西梁家河、福建古田，新余渝水区罗坊镇、九龙乡，分宜县等18个地方开展为期一周的以政策宣讲、教育关爱、文化宣传、送医下乡和家电维修、扶贫等为主要内容的社会实践活动。</w:t>
      </w:r>
    </w:p>
    <w:p>
      <w:pPr>
        <w:adjustRightInd w:val="0"/>
        <w:snapToGrid w:val="0"/>
        <w:ind w:firstLine="480" w:firstLineChars="200"/>
        <w:rPr>
          <w:rFonts w:ascii="宋体" w:hAnsi="宋体" w:eastAsia="宋体" w:cs="宋体"/>
          <w:sz w:val="24"/>
        </w:rPr>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（五）创新创业教育</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学校开设了创新创业学院，创新创业教育牵头单位为创新创业学院。开展创业培训项目2项，开展创新创业讲座40次。设立创新创业奖学金4.64万元。</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拥有创新创业教育专职教师23人，就业指导专职教师43人，创新创业教育兼职导师329人，组织教师创新创业专项培训3场次，至今有14人次参加了创新创业专项培训。重视教师团队的双创培训工作，本学年，共组织教师参加创新创业专项培训3场次，参训老师14人次。截止目前全校有创新创业资格证书的老师24人（创业指导师证、网络创业培训师证、SYB/GYB培训师证、KAB培训师证）；积极组织教师参加由第二届全国创业培训讲师大赛江西省新余市分赛暨新余市创领美好创业培训讲师大赛，推荐的12位参赛教师有8位教师获奖，其中两个老师以全市第1、第2名的成绩代表新余市参加省级比赛。</w:t>
      </w:r>
    </w:p>
    <w:p>
      <w:pPr>
        <w:adjustRightInd w:val="0"/>
        <w:snapToGrid w:val="0"/>
        <w:ind w:firstLine="480" w:firstLineChars="200"/>
        <w:rPr>
          <w:rFonts w:ascii="宋体" w:hAnsi="宋体" w:eastAsia="宋体" w:cs="宋体"/>
          <w:color w:val="000000" w:themeColor="text1"/>
          <w:sz w:val="24"/>
        </w:rPr>
      </w:pPr>
      <w:r>
        <w:rPr>
          <w:rFonts w:hint="eastAsia" w:ascii="宋体" w:hAnsi="宋体" w:eastAsia="宋体" w:cs="宋体"/>
          <w:sz w:val="24"/>
        </w:rPr>
        <w:t>2018年度，学校选派有7位老师到相关行业企业进行挂职锻炼，极大提高了教师的创新创业实践能力。为充分调动我校教师人员创新创业积极性、促进科技成果转化，加快我校科教人才优势转化为创新发展优势，出台了《关于教师人员在职创业、离岗创业的相关规定的实施细则》，目前我校教师有14人</w:t>
      </w:r>
      <w:r>
        <w:rPr>
          <w:rFonts w:hint="eastAsia" w:ascii="宋体" w:hAnsi="宋体" w:eastAsia="宋体" w:cs="宋体"/>
          <w:color w:val="000000" w:themeColor="text1"/>
          <w:sz w:val="24"/>
        </w:rPr>
        <w:t>兼职创业，4人离岗创业。</w:t>
      </w:r>
    </w:p>
    <w:p>
      <w:pPr>
        <w:adjustRightInd w:val="0"/>
        <w:snapToGrid w:val="0"/>
        <w:ind w:firstLine="480" w:firstLineChars="200"/>
        <w:rPr>
          <w:rFonts w:ascii="宋体" w:hAnsi="宋体" w:eastAsia="宋体" w:cs="宋体"/>
          <w:color w:val="000000" w:themeColor="text1"/>
          <w:sz w:val="24"/>
        </w:rPr>
      </w:pPr>
      <w:r>
        <w:rPr>
          <w:rFonts w:hint="eastAsia" w:ascii="宋体" w:hAnsi="宋体" w:eastAsia="宋体" w:cs="宋体"/>
          <w:color w:val="000000" w:themeColor="text1"/>
          <w:sz w:val="24"/>
        </w:rPr>
        <w:t>设立创新创业教育实践基地（平台）2个，其中创业示范基地1个，高校实践育人创新创业基地1个。</w:t>
      </w:r>
      <w:r>
        <w:rPr>
          <w:rFonts w:hint="eastAsia" w:ascii="宋体" w:hAnsi="宋体" w:eastAsia="宋体" w:cs="宋体"/>
          <w:sz w:val="24"/>
        </w:rPr>
        <w:t>本学年学校共立项建设国家级大学生创新创业训练项目15个（其中创新11个，创业4个）。</w:t>
      </w:r>
    </w:p>
    <w:p>
      <w:pPr>
        <w:adjustRightInd w:val="0"/>
        <w:snapToGrid w:val="0"/>
        <w:ind w:firstLine="480" w:firstLineChars="200"/>
        <w:rPr>
          <w:rFonts w:ascii="宋体" w:hAnsi="宋体" w:eastAsia="宋体" w:cs="宋体"/>
          <w:sz w:val="24"/>
        </w:rPr>
      </w:pPr>
      <w:r>
        <w:rPr>
          <w:rFonts w:hint="eastAsia" w:ascii="宋体" w:hAnsi="宋体" w:eastAsia="宋体" w:cs="宋体"/>
          <w:color w:val="000000" w:themeColor="text1"/>
          <w:sz w:val="24"/>
        </w:rPr>
        <w:t>开设创新创业教育课程2门，开设职业生涯规划及就业指导课程3门。学院目前已经形成了公共基础课、公共选修课、专业选修课、实践教育平台组成的“四位一体”的创新创业教育课程体系。2018-2019学年，学校开设</w:t>
      </w:r>
      <w:r>
        <w:rPr>
          <w:rFonts w:hint="eastAsia" w:ascii="宋体" w:hAnsi="宋体" w:eastAsia="宋体" w:cs="宋体"/>
          <w:color w:val="000000" w:themeColor="text1"/>
          <w:sz w:val="24"/>
          <w:lang w:eastAsia="zh-CN"/>
        </w:rPr>
        <w:t>的</w:t>
      </w:r>
      <w:r>
        <w:rPr>
          <w:rFonts w:hint="eastAsia" w:ascii="宋体" w:hAnsi="宋体" w:eastAsia="宋体" w:cs="宋体"/>
          <w:color w:val="000000" w:themeColor="text1"/>
          <w:sz w:val="24"/>
        </w:rPr>
        <w:t>《创新创业基础》课程，已覆盖所有本科专业；公共选修课已开设20门（含网络公选课），2018-2019学年选课学生达3500人次</w:t>
      </w:r>
      <w:r>
        <w:rPr>
          <w:rFonts w:hint="eastAsia" w:ascii="宋体" w:hAnsi="宋体" w:eastAsia="宋体" w:cs="宋体"/>
          <w:color w:val="000000" w:themeColor="text1"/>
          <w:sz w:val="24"/>
          <w:lang w:eastAsia="zh-CN"/>
        </w:rPr>
        <w:t>。</w:t>
      </w:r>
    </w:p>
    <w:p>
      <w:pPr>
        <w:adjustRightInd w:val="0"/>
        <w:snapToGrid w:val="0"/>
        <w:ind w:firstLine="480" w:firstLineChars="200"/>
        <w:rPr>
          <w:rFonts w:ascii="宋体" w:hAnsi="宋体" w:eastAsia="宋体" w:cs="宋体"/>
          <w:sz w:val="24"/>
        </w:rPr>
      </w:pPr>
      <w:r>
        <w:rPr>
          <w:rFonts w:hint="eastAsia" w:asciiTheme="minorEastAsia" w:hAnsiTheme="minorEastAsia" w:cstheme="minorEastAsia"/>
          <w:bCs/>
          <w:sz w:val="24"/>
        </w:rPr>
        <w:t>加强创新创业教育课程体系建设，加大科技创新与技能竞赛的组织力度，推进创新创业教育提升工程。从培养方案的设计到课程的实施，目前已初步形成“四位一体”的创新创业课程体系，涉及公共基础课、公共选修课、专业选修课、实践教育平台的创新创业模块</w:t>
      </w:r>
      <w:r>
        <w:rPr>
          <w:rFonts w:hint="eastAsia" w:asciiTheme="minorEastAsia" w:hAnsiTheme="minorEastAsia" w:cstheme="minorEastAsia"/>
          <w:bCs/>
          <w:sz w:val="24"/>
          <w:lang w:eastAsia="zh-CN"/>
        </w:rPr>
        <w:t>。</w:t>
      </w:r>
      <w:r>
        <w:rPr>
          <w:rFonts w:hint="eastAsia" w:ascii="宋体" w:hAnsi="宋体" w:eastAsia="宋体" w:cs="宋体"/>
          <w:sz w:val="24"/>
          <w:lang w:val="en-US" w:eastAsia="zh-CN"/>
        </w:rPr>
        <w:t xml:space="preserve"> </w:t>
      </w:r>
      <w:r>
        <w:rPr>
          <w:rFonts w:hint="eastAsia" w:ascii="宋体" w:hAnsi="宋体" w:eastAsia="宋体" w:cs="宋体"/>
          <w:sz w:val="24"/>
        </w:rPr>
        <w:t>2018-2019学年，参与创新创业竞赛全日制本科在校学生数3398人</w:t>
      </w:r>
      <w:r>
        <w:rPr>
          <w:rFonts w:hint="eastAsia" w:ascii="宋体" w:hAnsi="宋体" w:eastAsia="宋体" w:cs="宋体"/>
          <w:sz w:val="24"/>
          <w:lang w:eastAsia="zh-CN"/>
        </w:rPr>
        <w:t>；</w:t>
      </w:r>
      <w:r>
        <w:rPr>
          <w:rFonts w:hint="eastAsia" w:ascii="宋体" w:hAnsi="宋体" w:eastAsia="宋体" w:cs="宋体"/>
          <w:sz w:val="24"/>
        </w:rPr>
        <w:t>本科生在国内外及省、部级等学科竞赛中获奖423项，其中国际级获奖5项、国家级获奖46项，省部级获奖372项。</w:t>
      </w:r>
      <w:r>
        <w:rPr>
          <w:rFonts w:hint="eastAsia" w:asciiTheme="minorEastAsia" w:hAnsiTheme="minorEastAsia" w:cstheme="minorEastAsia"/>
          <w:bCs/>
          <w:sz w:val="24"/>
        </w:rPr>
        <w:t>比较突出的，如：2019 年全国大学生电子设计竞赛获得全国一等奖；第十三届“西门子杯”中国智能制造挑战赛全国初赛华东赛区，获一等奖 3 项；第十四届“恩智浦”杯智能汽车竞赛华东赛区获一等奖，全国总决赛二等奖（江西仅南昌大学和新余学院2 所高校获得全国表彰）；全国高等院校BIM应用技能比赛一等奖2项、三等奖3项；江西省大学生信息技术知识大赛一等奖1项、二等奖10项；2019 年第十一届全国大学生广告艺术大赛江西赛区获得一等奖 2 项；全国运动训练竞赛联盟啦啦操比赛一等奖1项、二等奖10项；第十五届大学生体育舞蹈锦标赛中获单项伦巴舞第一名等。</w:t>
      </w:r>
    </w:p>
    <w:p>
      <w:pPr>
        <w:adjustRightInd w:val="0"/>
        <w:snapToGrid w:val="0"/>
        <w:jc w:val="left"/>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（六）教学改革</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 xml:space="preserve">教学改革与研究是学校发展的源泉和推动力，开展教学改革与研究，有助于提升办学品位，塑造办学特色。学校的教学改革与研究始终以提高人才质量为核心，按照《江西省中长期教育改革和发展规划纲要（2010—2020年）》“突出重点，分类指导，整体推进”的指导原则，根据我校自身优势及特色，以教育教学改革与研究、人才培养模式、课堂教学和课程考试改革等为抓手，结合江西省应用转型试点高校工程，全方位深化教育教学改革。为加大教学改革力度，2017年学校出台《新余学院教育教学改革试点实施方案》，以试点的方式支持二级学院教学改革，立项支持了新能源科学与工程学院和中兴通讯信息学院进行综合试点，数学与计算机学院和马克思主义学院进行单项试点。 </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着力开展思想政治工作质量提升工程，深化“三全育人”综合改革，实现全员全过程全方位育人。大力推动以“思政课程、课程思政”为目标的课堂教学改革，注重其他课程、资源、力量与思想政治理论课同向同行，形成协同效应。</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落实持续改进理念，不断深化课堂教学改革，注重现代信息技术与教育教学深度融合的制度建设，在政策保障、激励机制、技能培训和条件支持等方面为提升课堂教学效果保驾护航。借助成熟的技术手段和完善的管理制度，将学校现有的各类优质课程、教学改革课题等质量工程项目和智慧教室、网络教学平台融合到一起，组织开展第二届校级移动教学大赛，深入探索在线网络学习与线上-线下混合式教学、课内教学与课外自主学习等相结合的教学形式，在全校倡导启发式、探究式、讨论式、参与式课堂教学改革。全面推进中班教学、小班研讨的模式，彻底取消大班教学，提升课堂教学效果。适当减少课堂讲授的学时数，逐步提高专业课程运用真实任务、真实案例教学的覆盖率和主干课程用人单位的参与率。改革课程考核方式，加强过程考核，根据课程特点及教学要求探索多样化、合理化、可操作性强的考核方式，积极构建应用型人才培养评价体系。</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深入开展通识教育课程教学改革。着手拟订《新余学院通识教育课程建设与管理办法》，出台《新余学院全面加强和改进美育工作实施方案》，一方面以思想政治理论课、大学外语、大学体育、大学信息技术、创新创业基础等必修通识课教学改革为先导，整合学校现有的教学资源，探索多元化学习模式，坚持需求导向与分级分类指导相结合，落实因材施教教育理念，提高必修通识课教学质量。另一方面，打造以校本特色选修课、网络精品公选课和“通识教育大讲堂”共同形成的“三位一体”公选课平台，拓展通识选修课教育资源。</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各级党组织坚持“围绕教学抓党建、抓好党建促教学”的工作方针，充分发挥广大党员在推动学校教育教学改革中的先锋模范作用，实现了党建工作与学校教育教学等中心工作目标同向、工作合拍。各个二级学院根据各自的学科专业特点，开展了“一院一品”党建活动。学校积极贯彻落实全国高校思想政治工作会议精神，配齐了专职辅导员、思政课教师队伍；建设“VR红色教育实验室”，探索VR（虚拟现实）技术融入思政课教学的方法与策略。</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我校获省部级教学成果奖2项。（最近一届）</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本学年我校教师主持建设的省部级教学研究与改革项目12项，建设经费达8.60万元。</w:t>
      </w:r>
    </w:p>
    <w:p>
      <w:pPr>
        <w:adjustRightInd w:val="0"/>
        <w:snapToGrid w:val="0"/>
        <w:ind w:firstLine="480" w:firstLineChars="200"/>
        <w:rPr>
          <w:rFonts w:ascii="宋体" w:hAnsi="宋体" w:eastAsia="宋体" w:cs="宋体"/>
          <w:sz w:val="24"/>
        </w:rPr>
      </w:pPr>
    </w:p>
    <w:p>
      <w:pPr>
        <w:adjustRightInd w:val="0"/>
        <w:snapToGrid w:val="0"/>
        <w:ind w:firstLine="482" w:firstLineChars="200"/>
        <w:rPr>
          <w:rFonts w:ascii="宋体" w:hAnsi="宋体" w:eastAsia="宋体" w:cs="宋体"/>
          <w:b/>
          <w:bCs/>
          <w:sz w:val="24"/>
        </w:rPr>
      </w:pPr>
      <w:r>
        <w:rPr>
          <w:rFonts w:hint="eastAsia" w:ascii="宋体" w:hAnsi="宋体" w:eastAsia="宋体" w:cs="宋体"/>
          <w:b/>
          <w:bCs/>
          <w:sz w:val="24"/>
        </w:rPr>
        <w:t>表8</w:t>
      </w:r>
      <w:r>
        <w:rPr>
          <w:rFonts w:hint="eastAsia" w:ascii="宋体" w:hAnsi="宋体" w:eastAsia="宋体" w:cs="宋体"/>
          <w:b/>
          <w:bCs/>
          <w:sz w:val="24"/>
        </w:rPr>
        <w:tab/>
      </w:r>
      <w:r>
        <w:rPr>
          <w:rFonts w:hint="eastAsia" w:ascii="宋体" w:hAnsi="宋体" w:eastAsia="宋体" w:cs="宋体"/>
          <w:b/>
          <w:bCs/>
          <w:sz w:val="24"/>
        </w:rPr>
        <w:t>2018年我校教师主持省级及以上本科教学工程（质量工程）项目情况</w:t>
      </w:r>
    </w:p>
    <w:tbl>
      <w:tblPr>
        <w:tblStyle w:val="11"/>
        <w:tblW w:w="851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3"/>
        <w:gridCol w:w="2556"/>
        <w:gridCol w:w="2556"/>
        <w:gridCol w:w="17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项目类型</w:t>
            </w:r>
          </w:p>
        </w:tc>
        <w:tc>
          <w:tcPr>
            <w:tcW w:w="2556"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国家级（教育部）项目数</w:t>
            </w:r>
          </w:p>
        </w:tc>
        <w:tc>
          <w:tcPr>
            <w:tcW w:w="2556"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省部级项目数</w:t>
            </w:r>
          </w:p>
        </w:tc>
        <w:tc>
          <w:tcPr>
            <w:tcW w:w="1703"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7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
                <w:sz w:val="24"/>
              </w:rPr>
            </w:pPr>
            <w:r>
              <w:rPr>
                <w:rFonts w:hint="eastAsia" w:ascii="宋体" w:hAnsi="宋体" w:eastAsia="宋体" w:cs="宋体"/>
                <w:b/>
                <w:sz w:val="24"/>
              </w:rPr>
              <w:t>产学合作协同育人项目</w:t>
            </w:r>
          </w:p>
        </w:tc>
        <w:tc>
          <w:tcPr>
            <w:tcW w:w="2556"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0</w:t>
            </w:r>
          </w:p>
        </w:tc>
        <w:tc>
          <w:tcPr>
            <w:tcW w:w="2556"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18</w:t>
            </w:r>
          </w:p>
        </w:tc>
        <w:tc>
          <w:tcPr>
            <w:tcW w:w="1703" w:type="dxa"/>
            <w:tcBorders>
              <w:top w:val="single" w:color="000000" w:sz="4" w:space="0"/>
              <w:left w:val="nil"/>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bCs/>
                <w:sz w:val="24"/>
              </w:rPr>
            </w:pPr>
            <w:r>
              <w:rPr>
                <w:rFonts w:hint="eastAsia" w:ascii="宋体" w:hAnsi="宋体" w:eastAsia="宋体" w:cs="宋体"/>
                <w:bCs/>
                <w:sz w:val="24"/>
              </w:rPr>
              <w:t>18</w:t>
            </w:r>
          </w:p>
        </w:tc>
      </w:tr>
    </w:tbl>
    <w:p>
      <w:pPr>
        <w:adjustRightInd w:val="0"/>
        <w:snapToGrid w:val="0"/>
        <w:rPr>
          <w:rFonts w:ascii="宋体" w:hAnsi="宋体" w:eastAsia="宋体" w:cs="宋体"/>
          <w:sz w:val="28"/>
          <w:szCs w:val="28"/>
        </w:rPr>
      </w:pPr>
    </w:p>
    <w:p>
      <w:pPr>
        <w:adjustRightInd w:val="0"/>
        <w:snapToGrid w:val="0"/>
        <w:ind w:firstLine="480" w:firstLineChars="200"/>
        <w:rPr>
          <w:rFonts w:asciiTheme="minorEastAsia" w:hAnsiTheme="minorEastAsia" w:cstheme="minorEastAsia"/>
          <w:bCs/>
          <w:sz w:val="24"/>
        </w:rPr>
      </w:pPr>
      <w:r>
        <w:rPr>
          <w:rFonts w:hint="eastAsia" w:asciiTheme="minorEastAsia" w:hAnsiTheme="minorEastAsia" w:cstheme="minorEastAsia"/>
          <w:bCs/>
          <w:sz w:val="24"/>
        </w:rPr>
        <w:t>积极组织教师开展教育教学改革研究，拓展教改研究项目申报渠道，推进教学改革与成果培育提升工程。认真组织2019年江西省高等学校教学改革研究课题申报立项工作，共指导68位教师提交申报材料，并按照省教育厅要求邀请了6位校外专家进行盲审，推荐了25项到省教育厅；因承担音体美专业师范生志愿实习支教任务，学校获得江西省基础教育研究课题的申报资格，我校于</w:t>
      </w:r>
      <w:r>
        <w:rPr>
          <w:rFonts w:hint="eastAsia" w:asciiTheme="minorEastAsia" w:hAnsiTheme="minorEastAsia" w:cstheme="minorEastAsia"/>
          <w:bCs/>
          <w:sz w:val="24"/>
          <w:lang w:val="en-US" w:eastAsia="zh-CN"/>
        </w:rPr>
        <w:t>2019</w:t>
      </w:r>
      <w:r>
        <w:rPr>
          <w:rFonts w:hint="eastAsia" w:asciiTheme="minorEastAsia" w:hAnsiTheme="minorEastAsia" w:cstheme="minorEastAsia"/>
          <w:bCs/>
          <w:sz w:val="24"/>
        </w:rPr>
        <w:t>年首次遴选推荐教师参加课题申报，有19项课题成功立项，其中刘思疑老师的《基于VR技术引导的互动式课堂教学模式的研究与实践</w:t>
      </w:r>
      <w:r>
        <w:rPr>
          <w:rFonts w:hint="eastAsia" w:asciiTheme="minorEastAsia" w:hAnsiTheme="minorEastAsia" w:cstheme="minorEastAsia"/>
          <w:bCs/>
          <w:sz w:val="24"/>
          <w:lang w:eastAsia="zh-CN"/>
        </w:rPr>
        <w:t>——</w:t>
      </w:r>
      <w:r>
        <w:rPr>
          <w:rFonts w:hint="eastAsia" w:asciiTheme="minorEastAsia" w:hAnsiTheme="minorEastAsia" w:cstheme="minorEastAsia"/>
          <w:bCs/>
          <w:sz w:val="24"/>
        </w:rPr>
        <w:t>以</w:t>
      </w:r>
      <w:r>
        <w:rPr>
          <w:rFonts w:hint="eastAsia" w:asciiTheme="minorEastAsia" w:hAnsiTheme="minorEastAsia" w:cstheme="minorEastAsia"/>
          <w:bCs/>
          <w:sz w:val="24"/>
          <w:lang w:eastAsia="zh-CN"/>
        </w:rPr>
        <w:t>〈</w:t>
      </w:r>
      <w:r>
        <w:rPr>
          <w:rFonts w:hint="eastAsia" w:asciiTheme="minorEastAsia" w:hAnsiTheme="minorEastAsia" w:cstheme="minorEastAsia"/>
          <w:bCs/>
          <w:sz w:val="24"/>
        </w:rPr>
        <w:t>中国近现代史纲要</w:t>
      </w:r>
      <w:r>
        <w:rPr>
          <w:rFonts w:hint="eastAsia" w:asciiTheme="minorEastAsia" w:hAnsiTheme="minorEastAsia" w:cstheme="minorEastAsia"/>
          <w:bCs/>
          <w:sz w:val="24"/>
          <w:lang w:eastAsia="zh-CN"/>
        </w:rPr>
        <w:t>〉</w:t>
      </w:r>
      <w:r>
        <w:rPr>
          <w:rFonts w:hint="eastAsia" w:asciiTheme="minorEastAsia" w:hAnsiTheme="minorEastAsia" w:cstheme="minorEastAsia"/>
          <w:bCs/>
          <w:sz w:val="24"/>
        </w:rPr>
        <w:t>为例》被列为重点课题。</w:t>
      </w:r>
    </w:p>
    <w:p>
      <w:pPr>
        <w:adjustRightInd w:val="0"/>
        <w:snapToGrid w:val="0"/>
        <w:rPr>
          <w:rFonts w:ascii="宋体" w:hAnsi="宋体" w:eastAsia="宋体" w:cs="宋体"/>
          <w:sz w:val="28"/>
          <w:szCs w:val="28"/>
        </w:rPr>
      </w:pPr>
    </w:p>
    <w:p>
      <w:pPr>
        <w:pStyle w:val="2"/>
        <w:widowControl/>
        <w:adjustRightInd w:val="0"/>
        <w:snapToGrid w:val="0"/>
        <w:spacing w:before="0" w:after="0" w:line="240" w:lineRule="auto"/>
        <w:jc w:val="left"/>
        <w:rPr>
          <w:rFonts w:ascii="黑体" w:hAnsi="黑体" w:eastAsia="黑体" w:cs="黑体"/>
          <w:b w:val="0"/>
          <w:bCs/>
          <w:sz w:val="30"/>
          <w:szCs w:val="30"/>
        </w:rPr>
      </w:pPr>
      <w:r>
        <w:rPr>
          <w:rFonts w:hint="eastAsia" w:ascii="黑体" w:hAnsi="黑体" w:eastAsia="黑体" w:cs="黑体"/>
          <w:b w:val="0"/>
          <w:bCs/>
          <w:sz w:val="30"/>
          <w:szCs w:val="30"/>
        </w:rPr>
        <w:t>四、专业培养能力</w:t>
      </w: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（一）人才培养目标定位与特色</w:t>
      </w:r>
    </w:p>
    <w:p>
      <w:pPr>
        <w:adjustRightInd w:val="0"/>
        <w:snapToGrid w:val="0"/>
        <w:ind w:firstLine="480" w:firstLineChars="200"/>
        <w:rPr>
          <w:rFonts w:ascii="黑体" w:hAnsi="黑体" w:eastAsia="黑体" w:cs="黑体"/>
          <w:sz w:val="24"/>
        </w:rPr>
      </w:pPr>
      <w:r>
        <w:rPr>
          <w:rFonts w:hint="eastAsia" w:ascii="黑体" w:hAnsi="黑体" w:eastAsia="黑体" w:cs="黑体"/>
          <w:sz w:val="24"/>
        </w:rPr>
        <w:t>1.坚持以生为本，突出应用特征</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坚持育人为本、德育为先、能力为重、全面发展的人才培养理念，着力培养“品德素养好，应用能力强，就业有实力，发展有后劲”的高素质应用型人才。坚持用社会主义核心价值观引领人才培养，构建大思政工作格局，汇聚全校思想政治工作合力，建立全员、全过程、全方位工作机制；广泛而有效地开展人文教育，培养学生良好的人文素养；加强心理健康教育和指导，培养学生良好的心理素质。根据“对接地方优势产业，服务新余发展大局”的发展思路，构建专业集群，强化优势专业，改造传统专业，建设新增专业，全面优化学科专业体系。坚持协同育人、突出应用、强化能力、分类指导原则制定人才培养方案。结合行业需求，细化培养规格，明确“学习能力、思维能力、实践能力、创新能力”四个能力目标，构建课程体系，规定学时学分比例。以核心课程建设为抓手，引领各类课程建设，改革教学内容和教学方法，根据课程性质和内容，探索项目式、案例式、情景式、研究式等教学方法。建设一批重点课程、精品课程、网络资源共享课程。完善实践教学体系，建设集基础实验、项目教学、工程实训于一体，校内校外相结合的实践平台。构建多元评价机制，有效推进考试考核从重成绩向重能力转变，学生学习从重期末向重过程转变。推进产学研合作教育，加强双师型师资队伍建设，为应用型人才培养提供支撑和保障。</w:t>
      </w:r>
    </w:p>
    <w:p>
      <w:pPr>
        <w:adjustRightInd w:val="0"/>
        <w:snapToGrid w:val="0"/>
        <w:ind w:firstLine="480" w:firstLineChars="200"/>
        <w:rPr>
          <w:rFonts w:ascii="黑体" w:hAnsi="黑体" w:eastAsia="黑体" w:cs="黑体"/>
          <w:sz w:val="24"/>
        </w:rPr>
      </w:pPr>
      <w:r>
        <w:rPr>
          <w:rFonts w:hint="eastAsia" w:ascii="黑体" w:hAnsi="黑体" w:eastAsia="黑体" w:cs="黑体"/>
          <w:sz w:val="24"/>
        </w:rPr>
        <w:t>2.根据培养要求，构建应用型人才培养模式</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根据办学定位和应用型人才培养要求，积极构建“一目标、二融合、三体系、四平台”的应用型人才培养模式。该模式以培养“品德素养好、应用能力强、就业有实力、发展有后劲”的高素质应用型人才为目标导向，以促进产教融合、专业教育和双创教育两个融合为推进路径，构建理论教学、实践教学、教学质量监控保障三个体系，打造通识教育、学科基础教育、专业教育和实践教育四个平台。</w:t>
      </w:r>
    </w:p>
    <w:p>
      <w:pPr>
        <w:adjustRightInd w:val="0"/>
        <w:snapToGrid w:val="0"/>
        <w:ind w:firstLine="480" w:firstLineChars="200"/>
        <w:rPr>
          <w:rFonts w:ascii="黑体" w:hAnsi="黑体" w:eastAsia="黑体" w:cs="黑体"/>
          <w:sz w:val="24"/>
        </w:rPr>
      </w:pPr>
      <w:r>
        <w:rPr>
          <w:rFonts w:hint="eastAsia" w:ascii="黑体" w:hAnsi="黑体" w:eastAsia="黑体" w:cs="黑体"/>
          <w:sz w:val="24"/>
        </w:rPr>
        <w:t>3.尊重个体差异，注重因材施教</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关注学生不同特点和个性差异，根据学生兴趣和志向，实行因材施教、个性发展的策略。实施多元化教学改革，根据专业的不同类型、不同性质，分别采用“3+1”“3.5+0.5”“3+0.5+0.5”等灵活多样的教育教学模式。实行专业方向课、选修课、职业规划课、与企业合作进行订单式培养、部分公共课分层次教学、体育课俱乐部制等教学改革。探索学生考核评价方式改革，推行多元评价、过程评价等方式，使考核评价与人才培养目标相一致。推行了双学位、辅修专业制度，让学有余力的学生有更多选择。</w:t>
      </w:r>
    </w:p>
    <w:p>
      <w:pPr>
        <w:adjustRightInd w:val="0"/>
        <w:snapToGrid w:val="0"/>
        <w:ind w:firstLine="480" w:firstLineChars="200"/>
        <w:rPr>
          <w:rFonts w:ascii="宋体" w:hAnsi="宋体" w:eastAsia="宋体" w:cs="宋体"/>
          <w:sz w:val="24"/>
        </w:rPr>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（二）专业课程体系建设</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根据OBE教育理念、按照“反向设计，正向培养”的思路，积极推进课程体系改革，构建能够体现学科前沿、地方产业及社会发展特点的课程体系。不断优化现有的“平台+模块”课程体系：不断拓展通识选修课教育资源，丰富选修课程种类，打造以校本特色选修课、网络精品公选课和“通识教育大讲堂”共同形成的“三位一体”公选课平台，落实教育部关于美育课、军事课、大学生心理健康教育等课程的新要求，注重通识教育平台中全校性必修公共课和选修课的建设。参照教学质量国家标准，落实合格评估专家整改意见，规范专业基础课程，对跨专业、跨学院开设的专业基础课程进行严格筛选，统一相关课程归属，形成更加科学的学科基础平台。狠抓专业核心课程，立足专业发展与行业需求，落实国标要求，突出应用型人才培养目标，注重专业方向课程遴选，强化专业教育平台建设。强化实践教学，增加综合性、创新性实验项目比例，加强实践教学环节的指导与管理，提高实践教学效果，增强学生实践能力，提高行业、企业对人才培养的参与度，加强校企合作、协同育人，给足学生见习、实习、实训学时，落实《新余学院第二课堂实践教学实施方案》，全方位提升学生的思想道德素质、职业素质、创新素质、</w:t>
      </w:r>
      <w:r>
        <w:rPr>
          <w:rFonts w:hint="eastAsia" w:ascii="宋体" w:hAnsi="宋体" w:eastAsia="宋体" w:cs="宋体"/>
          <w:sz w:val="24"/>
          <w:lang w:eastAsia="zh-CN"/>
        </w:rPr>
        <w:t>知</w:t>
      </w:r>
      <w:r>
        <w:rPr>
          <w:rFonts w:hint="eastAsia" w:ascii="宋体" w:hAnsi="宋体" w:eastAsia="宋体" w:cs="宋体"/>
          <w:sz w:val="24"/>
        </w:rPr>
        <w:t>识素质和社会实践综合能力。</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学校各专业平均开设课程34.605门，其中公共课4.579门，专业课30.105门；各专业平均总学时2399.868，其中理论教学与实验教学学时分别为1813.447、534.316；。各专业学时、学分具体情况参见附表6。</w:t>
      </w:r>
    </w:p>
    <w:p>
      <w:pPr>
        <w:adjustRightInd w:val="0"/>
        <w:snapToGrid w:val="0"/>
        <w:ind w:firstLine="480" w:firstLineChars="200"/>
        <w:rPr>
          <w:rFonts w:ascii="仿宋" w:hAnsi="仿宋" w:eastAsia="仿宋"/>
          <w:sz w:val="28"/>
          <w:szCs w:val="28"/>
        </w:rPr>
      </w:pPr>
      <w:r>
        <w:rPr>
          <w:rFonts w:hint="eastAsia" w:asciiTheme="minorEastAsia" w:hAnsiTheme="minorEastAsia" w:cstheme="minorEastAsia"/>
          <w:bCs/>
          <w:sz w:val="24"/>
        </w:rPr>
        <w:t>深化专业综合改革，以省一流专业建设、专业综合评价和专业认证为抓手，推进专业建设提升工程。根据校内专业建设首轮评估结果，推进各学院进行专业建设整改工作，着手启动对专业建设整改情况进行检查验收。组织数计学院省一流专业“计算机科学与技术”进一步完善建设方案，紧紧扣住服务地方区域经济发展，围绕智能制造、大数据和云计算等相关产业链，以产教融合、协同育人教学模式改革为突破口，打通产业链与教育的对接，同时，按照省教育厅的工作部署，完成了国家一流专业建设项目的申报工作；学校于2018年启动新一轮人才培养方案修订时，明确了以工程教育专业认证试点建设工作，全面推进专业内涵建设，遴选了计算机科学与技术、新能源材料与器件和电气工程及其自动化3个工科专业作为试点，同时按照省教育厅要求对现有的6个师范专业适时启动师范专业认证建设工作。为推进专业建设，鼓励工科专业和师范专业老师外出考察学习，认真学习已经通过专业认证高校的宝贵经验，2019年共安排工程教育专业认证培训30人次、师范专业认证培训42人次，各类学习考察交流73人次；推进“1+X”证书制度试点工作，我校成功列入教育部第二批1+X证书制度试点院校名单，申报试点专业有两个：一个是机电学院的机器人工程专业，试点证书是工业机器人操作与运维（中级），另一个是经管学院的电子商务专业，试点证书是网站运营推广（中级）。</w:t>
      </w:r>
    </w:p>
    <w:p>
      <w:pPr>
        <w:adjustRightInd w:val="0"/>
        <w:snapToGrid w:val="0"/>
        <w:ind w:firstLine="480" w:firstLineChars="200"/>
        <w:rPr>
          <w:rFonts w:ascii="宋体" w:hAnsi="宋体" w:eastAsia="宋体" w:cs="宋体"/>
          <w:sz w:val="24"/>
        </w:rPr>
      </w:pPr>
      <w:r>
        <w:rPr>
          <w:rFonts w:hint="eastAsia" w:asciiTheme="minorEastAsia" w:hAnsiTheme="minorEastAsia" w:cstheme="minorEastAsia"/>
          <w:bCs/>
          <w:sz w:val="24"/>
        </w:rPr>
        <w:t>加强现代信息技术与教育教学的深度融合, 推动线上“金课”和虚拟仿真“金课”建设，推进课程建设提升工程。学校投入近80万元购置网络智慧教学及资源中心平台（超星泛雅平台）、对现有智慧教室进行改造升级，将网络教学平台、智慧教室、学习通APP等进行有效对接，实现课程建设、教学互动、移动学习、质量工程项目申报与建设、网络教学与图书资源利用等全方位的数字化，在有效地推进学校教育信息化建设的同时，大大丰富了学校信息化教学设施与资源；机电学院李玉平教授负责的《机械制造基础》课程和数计学院李舒亮教授负责的《html+css网页设计与制作》课程被认定为省级精品在线开放课程并上线运行，建工学院“装配式混泥土结构吊装虚拟仿真实验”获批为省级虚拟仿真实验项目（线上课程、线下课程、线上线下混合式课程、虚拟仿真实验项目、社会实践课，教育部推动建设的五大“金课”）；推动优质教育资源的开放共享，遴选推荐的李玉平教授的《机械制造基础》课程获批2019年</w:t>
      </w:r>
      <w:r>
        <w:rPr>
          <w:rFonts w:hint="eastAsia" w:asciiTheme="minorEastAsia" w:hAnsiTheme="minorEastAsia" w:cstheme="minorEastAsia"/>
          <w:bCs/>
          <w:sz w:val="24"/>
          <w:lang w:eastAsia="zh-CN"/>
        </w:rPr>
        <w:t>全省</w:t>
      </w:r>
      <w:r>
        <w:rPr>
          <w:rFonts w:hint="eastAsia" w:asciiTheme="minorEastAsia" w:hAnsiTheme="minorEastAsia" w:cstheme="minorEastAsia"/>
          <w:bCs/>
          <w:sz w:val="24"/>
        </w:rPr>
        <w:t>高校课程育人共享计划立项；学校投入近40万元续购网络公选课平台（超星尔雅通识课平台），全年学生选课超过120门，选课近15000人</w:t>
      </w:r>
      <w:r>
        <w:rPr>
          <w:rFonts w:hint="eastAsia" w:asciiTheme="minorEastAsia" w:hAnsiTheme="minorEastAsia" w:cstheme="minorEastAsia"/>
          <w:bCs/>
          <w:sz w:val="24"/>
          <w:lang w:eastAsia="zh-CN"/>
        </w:rPr>
        <w:t>次</w:t>
      </w:r>
      <w:r>
        <w:rPr>
          <w:rFonts w:hint="eastAsia" w:asciiTheme="minorEastAsia" w:hAnsiTheme="minorEastAsia" w:cstheme="minorEastAsia"/>
          <w:bCs/>
          <w:sz w:val="24"/>
        </w:rPr>
        <w:t>，97%通过课程考核获得学分，课程考核优秀率70%左右，尔雅通识课平台为构建我校“三位一体”公选课课程体系提供了有力的支撑。</w:t>
      </w:r>
    </w:p>
    <w:p>
      <w:pPr>
        <w:adjustRightInd w:val="0"/>
        <w:snapToGrid w:val="0"/>
        <w:jc w:val="left"/>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（三）立德树人落实机制</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认真落实新时代全国高等学校本科教育工作会议精神，以习近平新时代中国特色社会主义思想为指导，全面落实立德树人根本任务，着力培养德智体美劳全面发展的社会主义建设者和接班人。在2018版本科专业人才培养方案的设计上，坚持以学生为中心，促进学生全面协调发展；坚持产出导向（OBE）教育理念，不断提高人才培养与区域经济社会发展的适应度；坚持协同育人，创新人才培养机制；坚持对接《普通高等学校本科专业类教学质量国家标准》，融合工程教育专业认证和师范专业认证的理念和要求，以国家标准为参照，以专业认证为抓手，妥善处理好人才培养的前瞻性与时效性，确保人才培养方案的指导性和稳定性。出台《新余学院教学质量三年提升计划》、《新余学院全面加强和改进美育工作实施方案》、《新余学院课程思政教学改革实施方案》等与教学改革相关的重大文件，持续深入推进教育教学改革，进一步落实立德树人根本任务。</w:t>
      </w:r>
    </w:p>
    <w:p>
      <w:pPr>
        <w:pStyle w:val="3"/>
        <w:widowControl/>
        <w:adjustRightInd w:val="0"/>
        <w:snapToGrid w:val="0"/>
        <w:spacing w:before="0" w:after="0" w:line="240" w:lineRule="auto"/>
        <w:jc w:val="left"/>
        <w:rPr>
          <w:rFonts w:ascii="黑体" w:hAnsi="宋体" w:eastAsia="黑体" w:cs="黑体"/>
          <w:sz w:val="28"/>
          <w:szCs w:val="28"/>
        </w:rPr>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（四）专任教师数量和结构</w:t>
      </w:r>
    </w:p>
    <w:p>
      <w:pPr>
        <w:adjustRightInd w:val="0"/>
        <w:snapToGrid w:val="0"/>
        <w:ind w:firstLine="480" w:firstLineChars="200"/>
        <w:jc w:val="left"/>
        <w:rPr>
          <w:rFonts w:asciiTheme="minorEastAsia" w:hAnsiTheme="minorEastAsia" w:cstheme="minorEastAsia"/>
          <w:b/>
          <w:sz w:val="24"/>
        </w:rPr>
      </w:pPr>
      <w:r>
        <w:rPr>
          <w:rFonts w:hint="eastAsia" w:ascii="宋体" w:hAnsi="宋体" w:eastAsia="宋体" w:cs="宋体"/>
          <w:sz w:val="24"/>
        </w:rPr>
        <w:t>学校各专业专任教师生师比最高的学院是中兴通讯信息学院，生师比为36.74</w:t>
      </w:r>
      <w:r>
        <w:rPr>
          <w:rFonts w:hint="eastAsia" w:ascii="宋体" w:hAnsi="宋体" w:eastAsia="宋体" w:cs="宋体"/>
          <w:sz w:val="24"/>
          <w:lang w:eastAsia="zh-CN"/>
        </w:rPr>
        <w:t>：</w:t>
      </w:r>
      <w:r>
        <w:rPr>
          <w:rFonts w:hint="eastAsia" w:ascii="宋体" w:hAnsi="宋体" w:eastAsia="宋体" w:cs="宋体"/>
          <w:sz w:val="24"/>
          <w:lang w:val="en-US" w:eastAsia="zh-CN"/>
        </w:rPr>
        <w:t>1</w:t>
      </w:r>
      <w:r>
        <w:rPr>
          <w:rFonts w:hint="eastAsia" w:ascii="宋体" w:hAnsi="宋体" w:eastAsia="宋体" w:cs="宋体"/>
          <w:sz w:val="24"/>
        </w:rPr>
        <w:t>；生师比最低的学院是外国语学院，生师比为16.53</w:t>
      </w:r>
      <w:r>
        <w:rPr>
          <w:rFonts w:hint="eastAsia" w:ascii="宋体" w:hAnsi="宋体" w:eastAsia="宋体" w:cs="宋体"/>
          <w:sz w:val="24"/>
          <w:lang w:eastAsia="zh-CN"/>
        </w:rPr>
        <w:t>：</w:t>
      </w:r>
      <w:r>
        <w:rPr>
          <w:rFonts w:hint="eastAsia" w:ascii="宋体" w:hAnsi="宋体" w:eastAsia="宋体" w:cs="宋体"/>
          <w:sz w:val="24"/>
          <w:lang w:val="en-US" w:eastAsia="zh-CN"/>
        </w:rPr>
        <w:t>1</w:t>
      </w:r>
      <w:r>
        <w:rPr>
          <w:rFonts w:hint="eastAsia" w:ascii="宋体" w:hAnsi="宋体" w:eastAsia="宋体" w:cs="宋体"/>
          <w:sz w:val="24"/>
        </w:rPr>
        <w:t>；生师比最高的专业是信息与计算科学，生师比为123</w:t>
      </w:r>
      <w:r>
        <w:rPr>
          <w:rFonts w:hint="eastAsia" w:ascii="宋体" w:hAnsi="宋体" w:eastAsia="宋体" w:cs="宋体"/>
          <w:sz w:val="24"/>
          <w:lang w:eastAsia="zh-CN"/>
        </w:rPr>
        <w:t>：</w:t>
      </w:r>
      <w:r>
        <w:rPr>
          <w:rFonts w:hint="eastAsia" w:ascii="宋体" w:hAnsi="宋体" w:eastAsia="宋体" w:cs="宋体"/>
          <w:sz w:val="24"/>
          <w:lang w:val="en-US" w:eastAsia="zh-CN"/>
        </w:rPr>
        <w:t>1</w:t>
      </w:r>
      <w:r>
        <w:rPr>
          <w:rFonts w:hint="eastAsia" w:ascii="宋体" w:hAnsi="宋体" w:eastAsia="宋体" w:cs="宋体"/>
          <w:sz w:val="24"/>
        </w:rPr>
        <w:t>；生师比最低的专业是网络与新媒体，生师比为8.6</w:t>
      </w:r>
      <w:r>
        <w:rPr>
          <w:rFonts w:hint="eastAsia" w:ascii="宋体" w:hAnsi="宋体" w:eastAsia="宋体" w:cs="宋体"/>
          <w:sz w:val="24"/>
          <w:lang w:eastAsia="zh-CN"/>
        </w:rPr>
        <w:t>：</w:t>
      </w:r>
      <w:r>
        <w:rPr>
          <w:rFonts w:hint="eastAsia" w:ascii="宋体" w:hAnsi="宋体" w:eastAsia="宋体" w:cs="宋体"/>
          <w:sz w:val="24"/>
          <w:lang w:val="en-US" w:eastAsia="zh-CN"/>
        </w:rPr>
        <w:t>1</w:t>
      </w:r>
      <w:r>
        <w:rPr>
          <w:rFonts w:hint="eastAsia" w:ascii="宋体" w:hAnsi="宋体" w:eastAsia="宋体" w:cs="宋体"/>
          <w:sz w:val="24"/>
        </w:rPr>
        <w:t xml:space="preserve">。分专业专任教师情况参见附表2、附表3。 </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学校紧紧围绕中央和省委关于人才发展体制机制改革的精神，落实省委教育工委、省教育厅对人才工作的任务部署，履行“一把手抓第一资源</w:t>
      </w:r>
      <w:r>
        <w:rPr>
          <w:rFonts w:hint="eastAsia" w:asciiTheme="minorEastAsia" w:hAnsiTheme="minorEastAsia" w:cstheme="minorEastAsia"/>
          <w:sz w:val="24"/>
          <w:lang w:eastAsia="zh-CN"/>
        </w:rPr>
        <w:t>”</w:t>
      </w:r>
      <w:r>
        <w:rPr>
          <w:rFonts w:hint="eastAsia" w:asciiTheme="minorEastAsia" w:hAnsiTheme="minorEastAsia" w:cstheme="minorEastAsia"/>
          <w:sz w:val="24"/>
        </w:rPr>
        <w:t>责任，坚持党管人才，大力实施人才兴教、人才强校战略，</w:t>
      </w:r>
      <w:r>
        <w:rPr>
          <w:rFonts w:hint="eastAsia" w:asciiTheme="minorEastAsia" w:hAnsiTheme="minorEastAsia" w:cstheme="minorEastAsia"/>
          <w:bCs/>
          <w:sz w:val="24"/>
        </w:rPr>
        <w:t>强化队伍建设，进一步夯实办学治校基础，</w:t>
      </w:r>
      <w:r>
        <w:rPr>
          <w:rFonts w:hint="eastAsia" w:asciiTheme="minorEastAsia" w:hAnsiTheme="minorEastAsia" w:cstheme="minorEastAsia"/>
          <w:sz w:val="24"/>
        </w:rPr>
        <w:t>推进学校内涵式发展。2018－2019学年，学校着力在师德师风建设、人才引进、教师及干部队伍建设等方面加大了力度，取得了一定的成效，被评为江西省高校人事人才工作先进单位。</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bCs/>
          <w:sz w:val="24"/>
        </w:rPr>
        <w:t>一是完善师德师风建设制度，形成了良好氛围。</w:t>
      </w:r>
      <w:r>
        <w:rPr>
          <w:rFonts w:hint="eastAsia" w:asciiTheme="minorEastAsia" w:hAnsiTheme="minorEastAsia" w:cstheme="minorEastAsia"/>
          <w:sz w:val="24"/>
        </w:rPr>
        <w:t>学校按照习近平总书记“四有”好教师标准，贯彻落实教育部关于新时代高校教师职业行为十项准则，不断加强教师思想政治工作。先后出台了《新余学院关于建立健全师德师风建设长效机制的实施办法》《新余学院关于进一步加强师德师风建设的实施意见》等制度，进一步完善了师德师风建设长效机制，对照“红七条”、“新余学院师德行为负面清单”，对全体教师进行师德考核。师德考核结果作为教师资格认定、职务评审、岗位聘任、绩效工资发放、评先评优的重要依据，实行一票否决；出台了《新余学院领导干部联系高层次人才工作制度》，为高层次人才在工作条件、学习环境、生活保障上给予关心和帮助；树立了一批先进典型，全年共表彰各级各类优秀教师37人，营造了良好的教书育人氛围。</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bCs/>
          <w:sz w:val="24"/>
        </w:rPr>
        <w:t>二是全力以赴推动人才引进，形成了工作常态。</w:t>
      </w:r>
      <w:r>
        <w:rPr>
          <w:rFonts w:hint="eastAsia" w:asciiTheme="minorEastAsia" w:hAnsiTheme="minorEastAsia" w:cstheme="minorEastAsia"/>
          <w:sz w:val="24"/>
        </w:rPr>
        <w:t>为扎实推动人才引进工作，学校先后完善了《新余学院2018年高层次人才引进工作方案》《新余学院柔性引进高层次人才暂行办法》《新余学院教师攻读博士学位管理暂行办法》和《新余学院引进海外优秀留学人才实施办法》等制度，充分调动了二级学院引才积极性，通过中国教育在线（学术桥）、高校师资网、中研博硕网等多种渠道进行海内外人才招聘宣传，积极参加工信部、省引才办、市人才办、各高校就业处组织开展的各类招聘会。2018年学校先后在北京、武汉、西安、重庆、广州、深圳等地组织参加了38场师资招聘会，共录用博士、硕士37名，柔性引进国家973计划、“西部之光”访问学者、教育部新世纪优秀人选等高层次人才6人，聘请清华大学、中央财经大学、香港理工大学等8名“渝郎回乡”博士团成员为兼职教授。</w:t>
      </w:r>
    </w:p>
    <w:p>
      <w:pPr>
        <w:adjustRightInd w:val="0"/>
        <w:snapToGrid w:val="0"/>
        <w:ind w:firstLine="480" w:firstLineChars="200"/>
        <w:jc w:val="left"/>
        <w:rPr>
          <w:rFonts w:ascii="宋体" w:hAnsi="宋体" w:eastAsia="宋体" w:cs="宋体"/>
          <w:sz w:val="24"/>
        </w:rPr>
      </w:pPr>
      <w:r>
        <w:rPr>
          <w:rFonts w:hint="eastAsia" w:asciiTheme="minorEastAsia" w:hAnsiTheme="minorEastAsia" w:cstheme="minorEastAsia"/>
          <w:bCs/>
          <w:sz w:val="24"/>
        </w:rPr>
        <w:t>三是积极开展教师培养培训，形成了多元渠道。</w:t>
      </w:r>
      <w:r>
        <w:rPr>
          <w:rFonts w:hint="eastAsia" w:asciiTheme="minorEastAsia" w:hAnsiTheme="minorEastAsia" w:cstheme="minorEastAsia"/>
          <w:sz w:val="24"/>
        </w:rPr>
        <w:t>学校通过积极开展教师培训、教学改革、咨询服务等工作，促进教师发展，提升了教师的职业精神、师德修养、教学水平和实践创新能力。依托教育部全国高校教师网络培训中心平台，开通了新余学院教师在线学习中心，出台了《新余学院教师在线学习管理办法》，共有700多名教师已获得课程学习证书；选送60名青年教师赴武汉大学举办青年教师教学能力提升研修班；选送60名青年教师赴上海交通大学举办青年教师教学能力提升研修班；派出181名教师外出参加课程研修、专业技能培训、创新创业培训、信息技术培训、各类研讨交流、国内外访学等。进一步完善了《新余学院辅导员队伍建设实施办法》，打造了辅导员微话馆、辅导员之声双品牌活动，成立了“职业发展与就业指导工作室”、“创新创业工作室”、“心理健康教育工作室”、“辅导员技能提升工作室”、“辅导员综合艺术工作室”等5个辅导员工作室；通过形式多样的主题活动，建立健全了辅导员培养培训机制，不断形成了多元化的教师培养培训渠道。</w:t>
      </w:r>
    </w:p>
    <w:p>
      <w:pPr>
        <w:adjustRightInd w:val="0"/>
        <w:snapToGrid w:val="0"/>
        <w:jc w:val="left"/>
        <w:rPr>
          <w:rFonts w:ascii="宋体" w:hAnsi="宋体" w:eastAsia="宋体" w:cs="宋体"/>
          <w:sz w:val="24"/>
        </w:rPr>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（五）实践教学</w:t>
      </w:r>
    </w:p>
    <w:p>
      <w:pPr>
        <w:adjustRightInd w:val="0"/>
        <w:snapToGrid w:val="0"/>
        <w:jc w:val="left"/>
      </w:pPr>
      <w:r>
        <w:rPr>
          <w:rFonts w:ascii="Calibri" w:hAnsi="Calibri" w:eastAsia="宋体" w:cs="Times New Roman"/>
          <w:szCs w:val="22"/>
        </w:rPr>
        <w:tab/>
      </w:r>
      <w:r>
        <w:rPr>
          <w:rFonts w:hint="eastAsia" w:ascii="Calibri" w:hAnsi="Calibri" w:eastAsia="宋体" w:cs="Times New Roman"/>
          <w:szCs w:val="22"/>
        </w:rPr>
        <w:t xml:space="preserve"> </w:t>
      </w:r>
      <w:r>
        <w:rPr>
          <w:rFonts w:hint="eastAsia" w:ascii="宋体" w:hAnsi="宋体" w:eastAsia="宋体" w:cs="宋体"/>
          <w:sz w:val="24"/>
        </w:rPr>
        <w:t>学校专业平均总学分174.132，其中实践教学环节平均学分40.868，占比23.47%，实践教学环节学分最高的是体育教育专业（65），最低的是学前教育专业（23）。校内各专业实践教学情况参见附表5。</w:t>
      </w:r>
    </w:p>
    <w:p>
      <w:pPr>
        <w:adjustRightInd w:val="0"/>
        <w:snapToGrid w:val="0"/>
        <w:jc w:val="left"/>
        <w:rPr>
          <w:rFonts w:hint="eastAsia" w:ascii="仿宋" w:hAnsi="仿宋" w:eastAsia="仿宋" w:cs="仿宋"/>
        </w:rPr>
      </w:pPr>
      <w:r>
        <w:rPr>
          <w:rFonts w:ascii="Calibri" w:hAnsi="Calibri" w:eastAsia="宋体" w:cs="Times New Roman"/>
          <w:szCs w:val="22"/>
        </w:rPr>
        <w:tab/>
      </w:r>
      <w:r>
        <w:rPr>
          <w:rFonts w:hint="eastAsia" w:ascii="仿宋" w:hAnsi="仿宋" w:eastAsia="仿宋" w:cs="仿宋"/>
          <w:sz w:val="24"/>
        </w:rPr>
        <w:t>注：实践学分主要指集中性实践环节、实验教学、课外科技活动的学分。</w:t>
      </w:r>
    </w:p>
    <w:p>
      <w:pPr>
        <w:adjustRightInd w:val="0"/>
        <w:snapToGrid w:val="0"/>
        <w:jc w:val="left"/>
        <w:rPr>
          <w:rFonts w:ascii="黑体" w:hAnsi="宋体" w:eastAsia="黑体" w:cs="黑体"/>
          <w:sz w:val="24"/>
        </w:rPr>
      </w:pPr>
      <w:r>
        <w:rPr>
          <w:rFonts w:ascii="Calibri" w:hAnsi="Calibri" w:eastAsia="宋体" w:cs="Times New Roman"/>
          <w:szCs w:val="22"/>
        </w:rPr>
        <w:tab/>
      </w:r>
      <w:r>
        <w:rPr>
          <w:rFonts w:hint="eastAsia" w:ascii="黑体" w:hAnsi="宋体" w:eastAsia="黑体" w:cs="黑体"/>
          <w:sz w:val="24"/>
        </w:rPr>
        <w:t xml:space="preserve"> </w:t>
      </w:r>
    </w:p>
    <w:p>
      <w:pPr>
        <w:pStyle w:val="2"/>
        <w:widowControl/>
        <w:adjustRightInd w:val="0"/>
        <w:snapToGrid w:val="0"/>
        <w:spacing w:before="0" w:after="0" w:line="240" w:lineRule="auto"/>
        <w:ind w:firstLine="602" w:firstLineChars="200"/>
        <w:jc w:val="left"/>
        <w:rPr>
          <w:rFonts w:ascii="黑体" w:hAnsi="黑体" w:eastAsia="黑体" w:cs="黑体"/>
          <w:sz w:val="30"/>
          <w:szCs w:val="30"/>
        </w:rPr>
      </w:pPr>
      <w:r>
        <w:rPr>
          <w:rFonts w:hint="eastAsia" w:ascii="黑体" w:hAnsi="黑体" w:eastAsia="黑体" w:cs="黑体"/>
          <w:sz w:val="30"/>
          <w:szCs w:val="30"/>
        </w:rPr>
        <w:t>五、质量保障体系</w:t>
      </w:r>
    </w:p>
    <w:p>
      <w:pPr>
        <w:pStyle w:val="3"/>
        <w:widowControl/>
        <w:adjustRightInd w:val="0"/>
        <w:snapToGrid w:val="0"/>
        <w:spacing w:before="0" w:after="0" w:line="240" w:lineRule="auto"/>
        <w:ind w:firstLine="560" w:firstLineChars="200"/>
        <w:jc w:val="left"/>
        <w:rPr>
          <w:b w:val="0"/>
          <w:bCs/>
        </w:rPr>
      </w:pPr>
      <w:r>
        <w:rPr>
          <w:rFonts w:hint="eastAsia" w:ascii="黑体" w:hAnsi="宋体" w:eastAsia="黑体" w:cs="黑体"/>
          <w:b w:val="0"/>
          <w:bCs/>
          <w:sz w:val="28"/>
          <w:szCs w:val="28"/>
        </w:rPr>
        <w:t>（一）校领导情况</w:t>
      </w:r>
    </w:p>
    <w:p>
      <w:pPr>
        <w:adjustRightInd w:val="0"/>
        <w:snapToGrid w:val="0"/>
        <w:jc w:val="left"/>
      </w:pPr>
      <w:r>
        <w:rPr>
          <w:rFonts w:ascii="Calibri" w:hAnsi="Calibri" w:eastAsia="宋体" w:cs="Times New Roman"/>
          <w:szCs w:val="22"/>
        </w:rPr>
        <w:tab/>
      </w:r>
      <w:r>
        <w:rPr>
          <w:rFonts w:hint="eastAsia" w:ascii="Calibri" w:hAnsi="Calibri" w:eastAsia="宋体" w:cs="Times New Roman"/>
          <w:szCs w:val="22"/>
        </w:rPr>
        <w:t xml:space="preserve"> </w:t>
      </w:r>
      <w:r>
        <w:rPr>
          <w:rFonts w:hint="eastAsia" w:ascii="宋体" w:hAnsi="宋体" w:eastAsia="宋体" w:cs="宋体"/>
          <w:sz w:val="24"/>
        </w:rPr>
        <w:t>我校现有校领导9名。其中具有正高级职称5名，所占比例为55.56%，具有博士学位2名，所占比例为22.22%。</w:t>
      </w:r>
    </w:p>
    <w:p>
      <w:pPr>
        <w:adjustRightInd w:val="0"/>
        <w:snapToGrid w:val="0"/>
        <w:jc w:val="left"/>
        <w:rPr>
          <w:rFonts w:ascii="宋体" w:hAnsi="宋体" w:eastAsia="宋体" w:cs="宋体"/>
          <w:sz w:val="24"/>
        </w:rPr>
      </w:pPr>
      <w:r>
        <w:rPr>
          <w:rFonts w:ascii="Calibri" w:hAnsi="Calibri" w:eastAsia="宋体" w:cs="Times New Roman"/>
          <w:szCs w:val="22"/>
        </w:rPr>
        <w:tab/>
      </w:r>
      <w:r>
        <w:rPr>
          <w:rFonts w:hint="eastAsia" w:ascii="Calibri" w:hAnsi="Calibri" w:eastAsia="宋体" w:cs="Times New Roman"/>
          <w:szCs w:val="22"/>
        </w:rPr>
        <w:t xml:space="preserve"> </w:t>
      </w:r>
      <w:r>
        <w:rPr>
          <w:rFonts w:hint="eastAsia" w:ascii="宋体" w:hAnsi="宋体" w:eastAsia="宋体" w:cs="宋体"/>
          <w:sz w:val="24"/>
        </w:rPr>
        <w:t>学校党政领导重视教学工作，教学工作中的重大问题，党委会、校长办公会优先研究解决；建立了领导干部听课制度和校领导联系教学单位制度，每个校领导联系1-2个教学单位，平均每学年听课10多节，校领导深入教学一线成为常态。学校各职能部门牢固树立“以教学为中心，全员服务教学”的思想，始终把服务教学作为重要任务，通过开展机关效能建设、在全校教工中开展了“大学习、大讨论、大调研”活动、组织成立了校级十九大精神宣讲团、组织开展了“学习新思想，千万师生同上一堂课”和“庆祝改革开放40周年”等宣讲活动、实施了思政课对接新思想系统工程，推动习近平新时代中国特色社会主义思想进教案、进课堂、进活动、进头脑，进一步掀起全校学习创新理论的热潮。</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党委认真落实思想政治工作的主体责任，坚持以立德树人为中心环节，推进全员全过程全方位育人，制定了《新余学院“三全育人”综合改革建设方案》，组织申报并通过了教育部第二批“三全育人”综合改革试点申报资格审查。深化思政课教育教学改革，建设了VR思政教学研究中心，实现思政课堂教学的线上线下、虚拟与现实相结合。积极推进“课程思政”建设，出台了《新余学院课程思政改革试点方案》，积极构建思政理论课、通识课、专业课的“大思政”教育课程体系，着力实现全课程育人。</w:t>
      </w:r>
    </w:p>
    <w:p>
      <w:pPr>
        <w:adjustRightInd w:val="0"/>
        <w:snapToGrid w:val="0"/>
        <w:jc w:val="left"/>
      </w:pPr>
    </w:p>
    <w:p>
      <w:pPr>
        <w:pStyle w:val="3"/>
        <w:widowControl/>
        <w:adjustRightInd w:val="0"/>
        <w:snapToGrid w:val="0"/>
        <w:spacing w:before="0" w:after="0" w:line="240" w:lineRule="auto"/>
        <w:ind w:firstLine="562" w:firstLineChars="200"/>
        <w:jc w:val="left"/>
      </w:pPr>
      <w:r>
        <w:rPr>
          <w:rFonts w:hint="eastAsia" w:ascii="黑体" w:hAnsi="宋体" w:eastAsia="黑体" w:cs="黑体"/>
          <w:sz w:val="28"/>
          <w:szCs w:val="28"/>
        </w:rPr>
        <w:t>（二）教学管理与服务</w:t>
      </w:r>
    </w:p>
    <w:p>
      <w:pPr>
        <w:adjustRightInd w:val="0"/>
        <w:snapToGrid w:val="0"/>
        <w:ind w:firstLine="480" w:firstLineChars="200"/>
        <w:jc w:val="left"/>
      </w:pPr>
      <w:r>
        <w:rPr>
          <w:rFonts w:hint="eastAsia" w:ascii="宋体" w:hAnsi="宋体" w:eastAsia="宋体" w:cs="宋体"/>
          <w:sz w:val="24"/>
        </w:rPr>
        <w:t>校级教学管理人员10人，其中高级职称3人，所占比例为30.00%；硕士及以上学位8人，所占比例为80.00%。</w:t>
      </w:r>
    </w:p>
    <w:p>
      <w:pPr>
        <w:adjustRightInd w:val="0"/>
        <w:snapToGrid w:val="0"/>
        <w:ind w:firstLine="480" w:firstLineChars="200"/>
        <w:jc w:val="left"/>
      </w:pPr>
      <w:r>
        <w:rPr>
          <w:rFonts w:hint="eastAsia" w:ascii="宋体" w:hAnsi="宋体" w:eastAsia="宋体" w:cs="宋体"/>
          <w:sz w:val="24"/>
        </w:rPr>
        <w:t>院级教学管理人员51人，其中高级职称19人，所占比例为37.25%；硕士及以上学位40人，所占比例为78.43%。</w:t>
      </w:r>
    </w:p>
    <w:p>
      <w:pPr>
        <w:adjustRightInd w:val="0"/>
        <w:snapToGrid w:val="0"/>
        <w:ind w:firstLine="480" w:firstLineChars="200"/>
        <w:jc w:val="left"/>
      </w:pPr>
      <w:r>
        <w:rPr>
          <w:rFonts w:hint="eastAsia" w:ascii="宋体" w:hAnsi="宋体" w:eastAsia="宋体" w:cs="宋体"/>
          <w:sz w:val="24"/>
        </w:rPr>
        <w:t>教学管理人员获得省级教学成果奖2项，发表教研类论文16篇，科研类论文3篇。</w:t>
      </w:r>
    </w:p>
    <w:p>
      <w:pPr>
        <w:adjustRightInd w:val="0"/>
        <w:snapToGrid w:val="0"/>
        <w:ind w:firstLine="480" w:firstLineChars="200"/>
      </w:pPr>
      <w:r>
        <w:rPr>
          <w:rFonts w:hint="eastAsia" w:ascii="宋体" w:hAnsi="宋体" w:eastAsia="宋体" w:cs="宋体"/>
          <w:sz w:val="24"/>
        </w:rPr>
        <w:t>学校领导班子和全校师生，聚焦教育工作的“两个根本”，深刻领会培养社会主义建设者和接班人是学校的根本任务，立德树人的成效是检验学校一切工作的根本标准，深入贯彻落实全国教育大会和全国高等学校本科教育工作会议精神，坚持以本为本，聚焦“四个回归”，全面推进教育教学改革。研究制定了《新余学院振兴本科教育实施方案》，组织开展了2018版人才培养方案和课程教学大纲的修订工作；积极开展本科教学工作合格评估整改，形成了评估整改工作报告</w:t>
      </w:r>
      <w:r>
        <w:rPr>
          <w:rFonts w:hint="eastAsia" w:ascii="宋体" w:hAnsi="宋体" w:eastAsia="宋体" w:cs="宋体"/>
          <w:sz w:val="24"/>
          <w:lang w:eastAsia="zh-CN"/>
        </w:rPr>
        <w:t>并提交了教育部和省教育厅</w:t>
      </w:r>
      <w:r>
        <w:rPr>
          <w:rFonts w:hint="eastAsia" w:ascii="宋体" w:hAnsi="宋体" w:eastAsia="宋体" w:cs="宋体"/>
          <w:sz w:val="24"/>
        </w:rPr>
        <w:t>；坚持需求导向与分级分类指导相结合，开展了大学外语等通识教育课程教学改革；取消了“清考”制度，自2018级起不再对因课程考核不及格不能按期毕业的学生组织“清考”；将课堂教学时间由40分钟调整为45分钟，教学安排更加科学合理；积极推进现代信息技术与教育教学的融合，鼓励教师利用智慧教室进行课堂教学，开展了移动教学大赛，建设了超星网络教学平台，李玉萍教授主持的省级精品在线开放课程正式获批上线；出台了本科专业校内评估办法，</w:t>
      </w:r>
      <w:r>
        <w:rPr>
          <w:rFonts w:hint="eastAsia" w:ascii="宋体" w:hAnsi="宋体" w:eastAsia="宋体" w:cs="宋体"/>
          <w:sz w:val="24"/>
          <w:lang w:eastAsia="zh-CN"/>
        </w:rPr>
        <w:t>完成了首批本科专业的校内评估；</w:t>
      </w:r>
      <w:r>
        <w:rPr>
          <w:rFonts w:hint="eastAsia" w:ascii="宋体" w:hAnsi="宋体" w:eastAsia="宋体" w:cs="宋体"/>
          <w:sz w:val="24"/>
          <w:lang w:val="en-US" w:eastAsia="zh-CN"/>
        </w:rPr>
        <w:t>2018年下半年开展了教师</w:t>
      </w:r>
      <w:r>
        <w:rPr>
          <w:rFonts w:hint="eastAsia" w:ascii="宋体" w:hAnsi="宋体" w:eastAsia="宋体" w:cs="宋体"/>
          <w:sz w:val="24"/>
        </w:rPr>
        <w:t>课堂教学第三方评价，教学质量保障机制不断优化。据武书连发布的2018中国大学工学排行榜，我校位列江西高校第15位。</w:t>
      </w:r>
    </w:p>
    <w:p>
      <w:pPr>
        <w:adjustRightInd w:val="0"/>
        <w:snapToGrid w:val="0"/>
        <w:jc w:val="left"/>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（三）学生管理与服务</w:t>
      </w:r>
    </w:p>
    <w:p>
      <w:pPr>
        <w:adjustRightInd w:val="0"/>
        <w:snapToGrid w:val="0"/>
        <w:jc w:val="left"/>
        <w:rPr>
          <w:b/>
          <w:bCs/>
        </w:rPr>
      </w:pPr>
      <w:r>
        <w:rPr>
          <w:rFonts w:ascii="Calibri" w:hAnsi="Calibri" w:eastAsia="宋体" w:cs="Times New Roman"/>
          <w:szCs w:val="22"/>
        </w:rPr>
        <w:tab/>
      </w:r>
      <w:r>
        <w:rPr>
          <w:rFonts w:hint="eastAsia" w:ascii="宋体" w:hAnsi="宋体" w:eastAsia="宋体" w:cs="宋体"/>
          <w:sz w:val="24"/>
        </w:rPr>
        <w:t>学校有专职学生辅导员46人。学生辅导员中，具有研究生学历的37人，所占比例为80.43%，具有大学本科学历的9人，所占比例为19.57%。</w:t>
      </w:r>
    </w:p>
    <w:p>
      <w:pPr>
        <w:adjustRightInd w:val="0"/>
        <w:snapToGrid w:val="0"/>
      </w:pPr>
      <w:r>
        <w:rPr>
          <w:rFonts w:ascii="Calibri" w:hAnsi="Calibri" w:eastAsia="宋体" w:cs="Times New Roman"/>
          <w:szCs w:val="22"/>
        </w:rPr>
        <w:tab/>
      </w:r>
      <w:r>
        <w:rPr>
          <w:rFonts w:hint="eastAsia" w:ascii="宋体" w:hAnsi="宋体" w:eastAsia="宋体" w:cs="宋体"/>
          <w:sz w:val="24"/>
        </w:rPr>
        <w:t>学校配备专职心理咨询工作人员3名，学生与心理咨询工作人员之比为3120.00:1。2019年个体心理咨询112人次，76名学生心理健康问题得到化解。我校心理情景剧《抉择》荣获第二届全国高校心理情景剧大赛三等奖；17级体育教育1班徐琪同学荣获第二届“全国百佳心理委员”荣誉称号。</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学校紧紧围绕建设特色鲜明高水平应用型本科院校和打造最关爱学生校园工作目标，坚持立德树人，围绕学生、关照学生、服务学生，构建“全员、全方位、全过程”育人格局，以学风建设为主线，教育引导、规范管理、优化服务，增进学生管理、服务、教育和引导的实效。</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一是通过搭建两大体系，明确三大主题，建设四支队伍，构建学生指导服务工作全员参与机制；通过开展爱国爱校教育、法纪安全教育，以新生入学教育、文明离校、开学典礼、毕业典礼、奖助评定感恩励志教育等为契机，将大学生的家国情怀、理想追求内化于心，外化于行，切实增强思想教育的吸引力和感染力。从新生入学教育开始抓学风</w:t>
      </w:r>
      <w:r>
        <w:rPr>
          <w:rFonts w:hint="eastAsia" w:ascii="宋体" w:hAnsi="宋体" w:eastAsia="宋体" w:cs="宋体"/>
          <w:sz w:val="24"/>
          <w:lang w:eastAsia="zh-CN"/>
        </w:rPr>
        <w:t>，</w:t>
      </w:r>
      <w:r>
        <w:rPr>
          <w:rFonts w:hint="eastAsia" w:ascii="宋体" w:hAnsi="宋体" w:eastAsia="宋体" w:cs="宋体"/>
          <w:sz w:val="24"/>
        </w:rPr>
        <w:t>落实各项学风建设管理制度，规范学风日常督查机制，加强学生日常管理，推动学风创优。</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二是以文明宿舍创建为抓手，进一步加强学生公寓管理与服务，积极开展教师走访联系寝室、党员示范寝室评定、安全用电宣传、星级文明寝室创建、创建无烟寝室、宿舍文化节、梦“信”时分等活动，不断创新公寓育人新内容、新形式，发挥好学生公寓党员工作站作用，努力构建宜学宜居的宿舍环境。</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三是优化家庭经济困难学生认定程序，完善贫困生信息库，进一步规范困难学生资助及归档工作。不断完善“奖、贷、助、补、减、免”多元化资助育人工作体系。开展以励志教育、诚信教育、感恩教育等为主题的教育实践活动，教育和激励受助学生努力学习、回报社会。</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四是高度重视学生心理健康教育工作，坚持育心与育德相结合，完善校、院、班、寝四级预警防控体系。定期进行心理异常情况排查、预警和访谈；提高工作前瞻性和针对性；通过开展新生适应“四个一”活动和面对面咨询、团体辅导、心理督导、新生心理测试、危机干预、5.25心理健康月主题活动、校园心理情景剧大赛、世界精神卫生日和心理知识竞赛等活动，宣传普及心理健康知识。开展心理素质拓展行动，探索朋辈心理辅导工作进公寓寝室，努力构建了学生的心灵安康工程。</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五是加强毕业生就业指导和服务，坚持“以生为本”，做实做细就业指导服务。促进毕业生更充分更高质量就业。创新校友工作模式，尝试建立“校友+就业”“校友+商会</w:t>
      </w:r>
      <w:r>
        <w:rPr>
          <w:rFonts w:hint="eastAsia" w:ascii="宋体" w:hAnsi="宋体" w:eastAsia="宋体" w:cs="宋体"/>
          <w:sz w:val="24"/>
          <w:lang w:eastAsia="zh-CN"/>
        </w:rPr>
        <w:t>”</w:t>
      </w:r>
      <w:r>
        <w:rPr>
          <w:rFonts w:hint="eastAsia" w:ascii="宋体" w:hAnsi="宋体" w:eastAsia="宋体" w:cs="宋体"/>
          <w:sz w:val="24"/>
        </w:rPr>
        <w:t>模式，为在校学生就业和校友事业发展开拓新渠道。在2016-2018年度全省普通高校毕业生就业工作评估结果为“优秀”并获评江西省高校毕业生就业工作“先进单位”。</w:t>
      </w:r>
    </w:p>
    <w:p>
      <w:pPr>
        <w:adjustRightInd w:val="0"/>
        <w:snapToGrid w:val="0"/>
        <w:jc w:val="left"/>
      </w:pPr>
      <w:r>
        <w:rPr>
          <w:rFonts w:ascii="Calibri" w:hAnsi="Calibri" w:eastAsia="宋体" w:cs="Times New Roman"/>
          <w:szCs w:val="22"/>
        </w:rPr>
        <w:tab/>
      </w: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（四）质量监控</w:t>
      </w:r>
    </w:p>
    <w:p>
      <w:pPr>
        <w:adjustRightInd w:val="0"/>
        <w:snapToGrid w:val="0"/>
        <w:jc w:val="left"/>
      </w:pPr>
      <w:r>
        <w:rPr>
          <w:rFonts w:ascii="Calibri" w:hAnsi="Calibri" w:eastAsia="宋体" w:cs="Times New Roman"/>
          <w:szCs w:val="22"/>
        </w:rPr>
        <w:tab/>
      </w:r>
      <w:r>
        <w:rPr>
          <w:rFonts w:hint="eastAsia" w:ascii="宋体" w:hAnsi="宋体" w:eastAsia="宋体" w:cs="宋体"/>
          <w:sz w:val="24"/>
        </w:rPr>
        <w:t>学校有专职教学质量监控人员4人。具有高级职称的1人，所占比例为25.00%，具有硕士及以上学位的2人，所占比例为50.00%。</w:t>
      </w:r>
    </w:p>
    <w:p>
      <w:pPr>
        <w:adjustRightInd w:val="0"/>
        <w:snapToGrid w:val="0"/>
        <w:jc w:val="left"/>
      </w:pPr>
      <w:r>
        <w:rPr>
          <w:rFonts w:ascii="Calibri" w:hAnsi="Calibri" w:eastAsia="宋体" w:cs="Times New Roman"/>
          <w:szCs w:val="22"/>
        </w:rPr>
        <w:tab/>
      </w:r>
      <w:r>
        <w:rPr>
          <w:rFonts w:hint="eastAsia" w:ascii="宋体" w:hAnsi="宋体" w:eastAsia="宋体" w:cs="宋体"/>
          <w:sz w:val="24"/>
        </w:rPr>
        <w:t>学校专兼职督导员63人。本学年内督导共听课1,012学时，校领导听课128学时，中层领导干部听课1222学时。本科生参与评教覆盖面为100%。</w:t>
      </w:r>
    </w:p>
    <w:p>
      <w:pPr>
        <w:adjustRightInd w:val="0"/>
        <w:snapToGrid w:val="0"/>
        <w:ind w:firstLine="480" w:firstLineChars="200"/>
        <w:rPr>
          <w:rFonts w:ascii="楷体" w:hAnsi="楷体" w:eastAsia="楷体" w:cs="楷体"/>
          <w:sz w:val="28"/>
          <w:szCs w:val="28"/>
        </w:rPr>
      </w:pPr>
      <w:r>
        <w:rPr>
          <w:rFonts w:hint="eastAsia" w:ascii="宋体" w:hAnsi="宋体" w:eastAsia="宋体" w:cs="宋体"/>
          <w:sz w:val="24"/>
        </w:rPr>
        <w:t>我校努力构建并初步形成了具有自身特色的“三全三化六系统”闭环式教育质量保证体系。“三全”是指全员参与、全程监控、全面评价，“三化”是指规范化、系统化、信息化</w:t>
      </w:r>
      <w:r>
        <w:rPr>
          <w:rFonts w:hint="eastAsia" w:ascii="宋体" w:hAnsi="宋体" w:eastAsia="宋体" w:cs="宋体"/>
          <w:b/>
          <w:sz w:val="24"/>
        </w:rPr>
        <w:t>，</w:t>
      </w:r>
      <w:r>
        <w:rPr>
          <w:rFonts w:hint="eastAsia" w:ascii="宋体" w:hAnsi="宋体" w:eastAsia="宋体" w:cs="宋体"/>
          <w:sz w:val="24"/>
        </w:rPr>
        <w:t>“六系统”是指建立教学质量目标系统、标准系统、过程控制系统、评估系统、持续改进和激励系统、保障系统。</w:t>
      </w:r>
    </w:p>
    <w:p>
      <w:pPr>
        <w:adjustRightInd w:val="0"/>
        <w:snapToGrid w:val="0"/>
        <w:ind w:firstLine="480" w:firstLineChars="200"/>
        <w:jc w:val="left"/>
        <w:rPr>
          <w:rFonts w:ascii="宋体" w:hAnsi="宋体" w:eastAsia="宋体" w:cs="宋体"/>
          <w:sz w:val="24"/>
        </w:rPr>
      </w:pPr>
      <w:r>
        <w:rPr>
          <w:rFonts w:hint="eastAsia" w:ascii="宋体" w:hAnsi="宋体" w:eastAsia="宋体" w:cs="宋体"/>
          <w:sz w:val="24"/>
        </w:rPr>
        <w:t>我校从多个方面对教学运行进行质量监控，已初步建立起了一个较为全面的教学质量监控系统。一是校领导、教务处和教学质量评估与督导中心人员，经常联合开展教学巡查，二级学院每天安排人员进行日常教学巡查。二是教务处每学期组织开展期初、期中、期末教学检查，对检查中发现的问题，进行全校点名通报。三是实行全员听课制度，全校教师、领导干部都有听课任务和听课质量要求，质评中心定期检查通报。四是学校和二级学院两级教学督导组，按照职责有计划地开展教学检查指导工作。五是建立学生信息员队伍，由各班学习委员担任信息员，每天反映教学中存在的问题，质评中心当天反馈，督促有关部门处理，并跟踪处理结果和进展，形成持续改进的闭环。六是对教学中存在的教学事故，按照制度的规定，及时作出处理。每学期都有教师被通报处理。七是从2019年起，每个季度采集一次本校本科教学状态数据，在《教学质量简报》上通报关键核心数据。</w:t>
      </w:r>
    </w:p>
    <w:p>
      <w:pPr>
        <w:adjustRightInd w:val="0"/>
        <w:snapToGrid w:val="0"/>
        <w:ind w:firstLine="480" w:firstLineChars="200"/>
        <w:rPr>
          <w:rFonts w:ascii="仿宋_GB2312" w:eastAsia="仿宋_GB2312"/>
          <w:sz w:val="32"/>
          <w:szCs w:val="32"/>
        </w:rPr>
      </w:pPr>
      <w:r>
        <w:rPr>
          <w:rFonts w:hint="eastAsia" w:ascii="宋体" w:hAnsi="宋体" w:eastAsia="宋体" w:cs="宋体"/>
          <w:sz w:val="24"/>
        </w:rPr>
        <w:t>在质量评价方面，我校构建了随堂评价与期末评价相结合，校内评价与第三方评价相结合的</w:t>
      </w:r>
      <w:r>
        <w:rPr>
          <w:rFonts w:hint="eastAsia" w:ascii="宋体" w:hAnsi="宋体" w:eastAsia="宋体" w:cs="宋体"/>
          <w:sz w:val="24"/>
          <w:lang w:eastAsia="zh-CN"/>
        </w:rPr>
        <w:t>教学教学评价</w:t>
      </w:r>
      <w:r>
        <w:rPr>
          <w:rFonts w:hint="eastAsia" w:ascii="宋体" w:hAnsi="宋体" w:eastAsia="宋体" w:cs="宋体"/>
          <w:sz w:val="24"/>
        </w:rPr>
        <w:t>体系。教师利用麦可思教学质量管理平台，开展授课效果随堂评价（即时评价），及时了解课堂教学效果及学生的评价、意见、建议、疑问，及时改进教学。每学期教师教学质量“四位一体”（ 学生、教师自我、同行、督导）评价和第三方评价、每两年一</w:t>
      </w:r>
      <w:r>
        <w:rPr>
          <w:rFonts w:hint="eastAsia" w:ascii="宋体" w:hAnsi="宋体" w:eastAsia="宋体" w:cs="宋体"/>
          <w:sz w:val="24"/>
          <w:lang w:eastAsia="zh-CN"/>
        </w:rPr>
        <w:t>次</w:t>
      </w:r>
      <w:r>
        <w:rPr>
          <w:rFonts w:hint="eastAsia" w:ascii="宋体" w:hAnsi="宋体" w:eastAsia="宋体" w:cs="宋体"/>
          <w:sz w:val="24"/>
        </w:rPr>
        <w:t>的校内专业建设专项评估、每两年一</w:t>
      </w:r>
      <w:r>
        <w:rPr>
          <w:rFonts w:hint="eastAsia" w:ascii="宋体" w:hAnsi="宋体" w:eastAsia="宋体" w:cs="宋体"/>
          <w:sz w:val="24"/>
          <w:lang w:eastAsia="zh-CN"/>
        </w:rPr>
        <w:t>次</w:t>
      </w:r>
      <w:r>
        <w:rPr>
          <w:rFonts w:hint="eastAsia" w:ascii="宋体" w:hAnsi="宋体" w:eastAsia="宋体" w:cs="宋体"/>
          <w:sz w:val="24"/>
        </w:rPr>
        <w:t>的校内课程建设专项评估，共同构建了全方位评价体系。评价结果在《教学质量简报》上予以通报，评价结果纳入年度考核指标，与二级学院和教师的利益直接挂钩。2018年下半年开展了校内专业建设评估，对15个本科专业进行了评估。2018年下半年开展了教师教学质量第三方评价，共有24名教师接受了外校专家的听课评价。</w:t>
      </w:r>
      <w:r>
        <w:rPr>
          <w:rFonts w:hint="eastAsia" w:asciiTheme="minorEastAsia" w:hAnsiTheme="minorEastAsia" w:cstheme="minorEastAsia"/>
          <w:sz w:val="24"/>
        </w:rPr>
        <w:t>这些评价工作的开展，体现了“管办评分离”的原则，既起到了客观评价的作用，也起到了有效监控督导的作用，影响很大，在改进教风、提升教师水平方面，效果明显。</w:t>
      </w:r>
    </w:p>
    <w:p>
      <w:pPr>
        <w:adjustRightInd w:val="0"/>
        <w:snapToGrid w:val="0"/>
        <w:ind w:firstLine="480" w:firstLineChars="200"/>
        <w:rPr>
          <w:rFonts w:asciiTheme="minorEastAsia" w:hAnsiTheme="minorEastAsia" w:cstheme="minorEastAsia"/>
          <w:bCs/>
          <w:sz w:val="24"/>
        </w:rPr>
      </w:pPr>
      <w:r>
        <w:rPr>
          <w:rFonts w:hint="eastAsia" w:asciiTheme="minorEastAsia" w:hAnsiTheme="minorEastAsia" w:cstheme="minorEastAsia"/>
          <w:bCs/>
          <w:sz w:val="24"/>
        </w:rPr>
        <w:t>我校重视教学质量的过程反馈与控制。2017年引入了麦可思公司的教学质量管理平台，出台了</w:t>
      </w:r>
      <w:r>
        <w:rPr>
          <w:rFonts w:hint="eastAsia" w:asciiTheme="minorEastAsia" w:hAnsiTheme="minorEastAsia" w:cstheme="minorEastAsia"/>
          <w:bCs/>
          <w:kern w:val="0"/>
          <w:sz w:val="24"/>
        </w:rPr>
        <w:t>《</w:t>
      </w:r>
      <w:r>
        <w:rPr>
          <w:rFonts w:hint="eastAsia" w:asciiTheme="minorEastAsia" w:hAnsiTheme="minorEastAsia" w:cstheme="minorEastAsia"/>
          <w:bCs/>
          <w:kern w:val="0"/>
          <w:sz w:val="24"/>
          <w:shd w:val="clear" w:color="auto" w:fill="FFFFFF"/>
        </w:rPr>
        <w:t>关于“新余学院-麦可思教学质量管理平台”使用的若干要求》，要求上课的老师，每学期每门课使用该平台开展即时评价（随堂评价）5次以上，提倡每次课都使用。</w:t>
      </w:r>
      <w:r>
        <w:rPr>
          <w:rFonts w:hint="eastAsia" w:asciiTheme="minorEastAsia" w:hAnsiTheme="minorEastAsia" w:cstheme="minorEastAsia"/>
          <w:bCs/>
          <w:sz w:val="24"/>
        </w:rPr>
        <w:t>教师通过麦可思教学质量管理平台开展随堂评价已经成为一种常规、习惯。2018年下半年，全校教师使用该平台发起随堂评价共2446次，434名教师按规定完成了评价次数。2019年上半年，全校教师使用该平台发起随堂评价共2675次，454名教师按规定完成了评价次数。通过鼓励教师多使用随堂评价，全校老师基本学会使用麦可思平台的随堂评价功能。许多老师从平时上课的随堂评价中，听到了学生的真实声音，知道了他们的真实想法，师生互动增加了，教师的教学水平和教学效果在不断提升，学生的收获感、满意感也在不断增加。</w:t>
      </w:r>
    </w:p>
    <w:p>
      <w:pPr>
        <w:adjustRightInd w:val="0"/>
        <w:snapToGrid w:val="0"/>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校院两级督导正常开展了工作。2019年上半年，学校教学督导组三位专职教学督导员共听了174位老师178节课（含实践教学课），覆盖了全校所有教学单位的专业课、公共课和选修课。督导组对被听课教师课堂教学的总体评价是：优秀的占12.64%，良好的占55.17%，合格的31.61%，不合格的0.06%。在课堂听课的同时，专职教学督导员巡看、了解了教学单位教学运行管理基本情况，分别与学院教学管理负责人和教学督导组进行了交流，反映出总体情况良好，表现在：整体学风较好，学生到课率高，极少有迟到缺课现象发生；绝大部分教师教学态度端正，基本上能按照学校的要求，随堂带齐各项教学文件（教材、教案、大纲、进度表、学生名冊等），並且按进度表有计划的进行教学活动。</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学生教学信息员是一支重要的教学过程监控队伍，在反映信息、沟通情况方面发挥了不可替代的作用。2018－2019学年第二学期，我校通过学生教学信息</w:t>
      </w:r>
      <w:r>
        <w:rPr>
          <w:rFonts w:hint="eastAsia" w:asciiTheme="minorEastAsia" w:hAnsiTheme="minorEastAsia" w:cstheme="minorEastAsia"/>
          <w:sz w:val="24"/>
          <w:lang w:eastAsia="zh-CN"/>
        </w:rPr>
        <w:t>员</w:t>
      </w:r>
      <w:r>
        <w:rPr>
          <w:rFonts w:hint="eastAsia" w:asciiTheme="minorEastAsia" w:hAnsiTheme="minorEastAsia" w:cstheme="minorEastAsia"/>
          <w:sz w:val="24"/>
        </w:rPr>
        <w:t>，收集整理教学工作中的各种信息，反馈到教学质量评估与督导中心督导科，对全校的教学情况进行全方位、全天候的监督。本学年，我校共有来自各班的学生信息员277位，共收到学生信息员反馈信息3000多条，信息内容包括教学管理、教师教学、教学设施、学生学风等多个方面。教学质量评估与督导中心对学生反馈的信息均及时进行了梳理，反馈分发到相关职能部门或教学单位，并进行了跟踪，督促解决，大部分问题得到解决。</w:t>
      </w:r>
    </w:p>
    <w:p>
      <w:pPr>
        <w:adjustRightInd w:val="0"/>
        <w:snapToGrid w:val="0"/>
        <w:ind w:firstLine="480" w:firstLineChars="200"/>
        <w:jc w:val="left"/>
        <w:rPr>
          <w:rFonts w:asciiTheme="minorEastAsia" w:hAnsiTheme="minorEastAsia" w:cstheme="minorEastAsia"/>
          <w:sz w:val="24"/>
        </w:rPr>
      </w:pPr>
      <w:r>
        <w:rPr>
          <w:rFonts w:hint="eastAsia" w:asciiTheme="minorEastAsia" w:hAnsiTheme="minorEastAsia" w:cstheme="minorEastAsia"/>
          <w:sz w:val="24"/>
        </w:rPr>
        <w:t>学生学风方面，除了校院两级教学督导进行日常巡查督导，学</w:t>
      </w:r>
      <w:r>
        <w:rPr>
          <w:rFonts w:hint="eastAsia" w:asciiTheme="minorEastAsia" w:hAnsiTheme="minorEastAsia" w:cstheme="minorEastAsia"/>
          <w:sz w:val="24"/>
          <w:lang w:eastAsia="zh-CN"/>
        </w:rPr>
        <w:t>工</w:t>
      </w:r>
      <w:r>
        <w:rPr>
          <w:rFonts w:hint="eastAsia" w:asciiTheme="minorEastAsia" w:hAnsiTheme="minorEastAsia" w:cstheme="minorEastAsia"/>
          <w:sz w:val="24"/>
        </w:rPr>
        <w:t>处每个月进行“学生上课低头率”抽查，抽查结果公布在《教学质量简报》上。每学期末，教学质量评估与督导中心组织各学院，对任课教师的教学质量进行由学生评价、教师本人自评、同行评价、督导评价构成的“四位一体”评价。评价结果纳入年度绩效考核，与教师的切身利益直接挂钩。2018年全年、2019年上半年的教师教学质量评价情况评价结果见附件27、28。</w:t>
      </w:r>
    </w:p>
    <w:p>
      <w:pPr>
        <w:adjustRightInd w:val="0"/>
        <w:snapToGrid w:val="0"/>
        <w:rPr>
          <w:rFonts w:ascii="楷体" w:hAnsi="楷体" w:eastAsia="楷体" w:cs="楷体"/>
          <w:b/>
          <w:sz w:val="28"/>
          <w:szCs w:val="28"/>
        </w:rPr>
      </w:pPr>
    </w:p>
    <w:p>
      <w:pPr>
        <w:pStyle w:val="2"/>
        <w:widowControl/>
        <w:adjustRightInd w:val="0"/>
        <w:snapToGrid w:val="0"/>
        <w:spacing w:before="0" w:after="0" w:line="240" w:lineRule="auto"/>
        <w:jc w:val="left"/>
        <w:rPr>
          <w:rFonts w:ascii="黑体" w:hAnsi="宋体" w:eastAsia="黑体" w:cs="黑体"/>
          <w:sz w:val="30"/>
          <w:szCs w:val="30"/>
        </w:rPr>
      </w:pPr>
      <w:r>
        <w:rPr>
          <w:rFonts w:hint="eastAsia" w:ascii="黑体" w:hAnsi="宋体" w:eastAsia="黑体" w:cs="黑体"/>
          <w:sz w:val="30"/>
          <w:szCs w:val="30"/>
        </w:rPr>
        <w:t>六、学生学习效果</w:t>
      </w:r>
    </w:p>
    <w:p>
      <w:pPr>
        <w:pStyle w:val="2"/>
        <w:widowControl/>
        <w:adjustRightInd w:val="0"/>
        <w:snapToGrid w:val="0"/>
        <w:spacing w:before="0" w:after="0" w:line="240" w:lineRule="auto"/>
        <w:ind w:firstLine="281" w:firstLineChars="100"/>
        <w:jc w:val="left"/>
        <w:rPr>
          <w:sz w:val="30"/>
          <w:szCs w:val="30"/>
        </w:rPr>
      </w:pPr>
      <w:r>
        <w:rPr>
          <w:rFonts w:hint="eastAsia" w:ascii="黑体" w:hAnsi="宋体" w:eastAsia="黑体" w:cs="黑体"/>
          <w:sz w:val="28"/>
          <w:szCs w:val="28"/>
        </w:rPr>
        <w:t>（一）毕业情况</w:t>
      </w:r>
    </w:p>
    <w:p>
      <w:pPr>
        <w:adjustRightInd w:val="0"/>
        <w:snapToGrid w:val="0"/>
        <w:ind w:firstLine="480" w:firstLineChars="200"/>
        <w:jc w:val="left"/>
        <w:rPr>
          <w:rFonts w:eastAsia="宋体"/>
        </w:rPr>
      </w:pPr>
      <w:r>
        <w:rPr>
          <w:rFonts w:hint="eastAsia" w:ascii="宋体" w:hAnsi="宋体" w:eastAsia="宋体" w:cs="宋体"/>
          <w:sz w:val="24"/>
        </w:rPr>
        <w:t>2019年共有本科毕业生1324人，实际毕业人数1316人，毕业率为99.4%，学位授予率为99.39%。</w:t>
      </w:r>
      <w:r>
        <w:rPr>
          <w:rFonts w:hint="eastAsia" w:ascii="宋体" w:hAnsi="宋体" w:eastAsia="宋体"/>
          <w:sz w:val="24"/>
        </w:rPr>
        <w:t>报考硕士研究生125人，研究生报考率9.49%；考上硕士研究生90人，考研通过率72%。学生参加国家级专业比赛获奖情况见附件29。</w:t>
      </w:r>
    </w:p>
    <w:p>
      <w:pPr>
        <w:adjustRightInd w:val="0"/>
        <w:snapToGrid w:val="0"/>
        <w:jc w:val="left"/>
      </w:pPr>
      <w:r>
        <w:rPr>
          <w:rFonts w:ascii="Calibri" w:hAnsi="Calibri" w:eastAsia="宋体" w:cs="Times New Roman"/>
          <w:szCs w:val="22"/>
        </w:rPr>
        <w:tab/>
      </w: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（二）就业情况</w:t>
      </w:r>
    </w:p>
    <w:p>
      <w:pPr>
        <w:adjustRightInd w:val="0"/>
        <w:snapToGrid w:val="0"/>
        <w:ind w:firstLine="480" w:firstLineChars="200"/>
      </w:pPr>
      <w:r>
        <w:rPr>
          <w:rFonts w:hint="eastAsia" w:ascii="宋体" w:hAnsi="宋体" w:eastAsia="宋体" w:cs="宋体"/>
          <w:sz w:val="24"/>
        </w:rPr>
        <w:t>截至2019年8月31日，学校应届本科毕业生总体就业率达87.99%（注：省就业办公布的数字为88.19%）。毕业生最主要的毕业去向是企业，占78.76%。升学91人，占6.91%，其中考录985院校研究生人数1人，考录双一流院校研究生人数2人，考录211院校研究生人数27人，出国（境）留学4人。</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学校高度重视毕业生就业工作，以毕业生就业工作“一把手”工程为抓手，进一步完善促进就业工作体制机制，明确了二级学院就业工作主体作用，激发了二级学院就业工作主动性；全面加强就业指导和服务，引导毕业生认清就业形势、树立正确的就业观念，积极引导和鼓励毕业生面向基层、面向农村、面向中西部就业。</w:t>
      </w:r>
    </w:p>
    <w:p>
      <w:pPr>
        <w:widowControl/>
        <w:adjustRightInd w:val="0"/>
        <w:snapToGrid w:val="0"/>
        <w:ind w:firstLine="480" w:firstLineChars="200"/>
        <w:jc w:val="left"/>
        <w:rPr>
          <w:rFonts w:ascii="宋体" w:hAnsi="宋体" w:eastAsia="宋体" w:cs="宋体"/>
          <w:sz w:val="24"/>
        </w:rPr>
      </w:pPr>
      <w:r>
        <w:rPr>
          <w:rFonts w:hint="eastAsia" w:ascii="宋体" w:hAnsi="宋体" w:eastAsia="宋体" w:cs="宋体"/>
          <w:sz w:val="24"/>
        </w:rPr>
        <w:t>学校大力加强就业工作队伍建设，充分调动各学院和辅导员、班主任参与就业工作的积极性，现有专兼职就业工作人员52人，设立了一站式就业服务中心，建立毕业生就业信息网，为我校毕业生就业提供了便捷的信息渠道。学校积极开展产教融合、校企合作，依托大中型企业和事业单位建设了110个就业基地，建立了用人单位信息库，与 500多家用人单位有稳定的就业信息联络，各学院已举行了近30场专业针对性强的行业性招聘会，提供了6700多个岗位，基本满足了学生的就业岗位需求，保障我校毕业生在新形势下实现更充分就业和更高质量就业。</w:t>
      </w:r>
    </w:p>
    <w:p>
      <w:pPr>
        <w:adjustRightInd w:val="0"/>
        <w:snapToGrid w:val="0"/>
        <w:ind w:firstLine="480" w:firstLineChars="200"/>
        <w:rPr>
          <w:rFonts w:ascii="宋体" w:hAnsi="宋体" w:eastAsia="宋体" w:cs="宋体"/>
          <w:sz w:val="24"/>
        </w:rPr>
      </w:pPr>
      <w:r>
        <w:rPr>
          <w:rFonts w:hint="eastAsia" w:ascii="宋体" w:hAnsi="宋体" w:eastAsia="宋体" w:cs="宋体"/>
          <w:sz w:val="24"/>
        </w:rPr>
        <w:t>学校高度重视贫困家庭毕业生、少数民族毕业生、残疾毕业生等就业困难群体的就业帮扶工作，秉承“重点帮扶”和“资助育人”相结合的理念，及时排查摸底，建立家庭经济困难毕业生就业帮扶机制，针对建档立卡学生实行“一对一”跟踪帮扶，2019年学校建档立卡毕业生总计349人，实际就业340</w:t>
      </w:r>
      <w:r>
        <w:rPr>
          <w:rFonts w:hint="eastAsia" w:ascii="宋体" w:hAnsi="宋体" w:eastAsia="宋体" w:cs="宋体"/>
          <w:sz w:val="24"/>
          <w:lang w:eastAsia="zh-CN"/>
        </w:rPr>
        <w:t>人</w:t>
      </w:r>
      <w:r>
        <w:rPr>
          <w:rFonts w:hint="eastAsia" w:ascii="宋体" w:hAnsi="宋体" w:eastAsia="宋体" w:cs="宋体"/>
          <w:sz w:val="24"/>
        </w:rPr>
        <w:t>，就业率达到97.42%，同时积极争取地方财政为困难群体毕业生发放就业求职财政补贴，按照1000元/生的标准一次性发放给困难学生，2019 年共为家庭困难毕业生发放就业求职补贴72万元。</w:t>
      </w:r>
    </w:p>
    <w:p>
      <w:pPr>
        <w:adjustRightInd w:val="0"/>
        <w:snapToGrid w:val="0"/>
        <w:ind w:firstLine="480" w:firstLineChars="200"/>
      </w:pPr>
      <w:r>
        <w:rPr>
          <w:rFonts w:hint="eastAsia" w:asciiTheme="minorEastAsia" w:hAnsiTheme="minorEastAsia" w:cstheme="minorEastAsia"/>
          <w:sz w:val="24"/>
        </w:rPr>
        <w:t>2019年6月，我校与新余市统计调查队合作，进行了新余学院大学生就业问题调研，共发放调查问卷450份，收回有效问卷421份，同时通过微就业平台了解用人单位对我校毕业生的思想品德、专业知识、业务能力和工作业绩等方面的总体评价和要求，了解用人单位人才需求状况，收集对学校就业服务工作和人才培养工作的意见和建议，调研显示，用人单位对学校毕业生就业工作总体满意度高，为97.10%。其中“非常满意”占比31.88%，“满意”占比47.83%，“比较满意”占比17.39%。</w:t>
      </w:r>
    </w:p>
    <w:p>
      <w:pPr>
        <w:adjustRightInd w:val="0"/>
        <w:snapToGrid w:val="0"/>
        <w:jc w:val="left"/>
      </w:pPr>
    </w:p>
    <w:p>
      <w:pPr>
        <w:pStyle w:val="3"/>
        <w:widowControl/>
        <w:adjustRightInd w:val="0"/>
        <w:snapToGrid w:val="0"/>
        <w:spacing w:before="0" w:after="0" w:line="240" w:lineRule="auto"/>
        <w:ind w:firstLine="281" w:firstLineChars="100"/>
        <w:jc w:val="left"/>
      </w:pPr>
      <w:r>
        <w:rPr>
          <w:rFonts w:hint="eastAsia" w:ascii="黑体" w:hAnsi="宋体" w:eastAsia="黑体" w:cs="黑体"/>
          <w:sz w:val="28"/>
          <w:szCs w:val="28"/>
        </w:rPr>
        <w:t>（三）转专业与辅修情况</w:t>
      </w:r>
    </w:p>
    <w:p>
      <w:pPr>
        <w:adjustRightInd w:val="0"/>
        <w:snapToGrid w:val="0"/>
        <w:jc w:val="left"/>
      </w:pPr>
      <w:r>
        <w:rPr>
          <w:rFonts w:ascii="Calibri" w:hAnsi="Calibri" w:eastAsia="宋体" w:cs="Times New Roman"/>
          <w:szCs w:val="22"/>
        </w:rPr>
        <w:tab/>
      </w:r>
      <w:r>
        <w:rPr>
          <w:rFonts w:hint="eastAsia" w:ascii="宋体" w:hAnsi="宋体" w:eastAsia="宋体" w:cs="宋体"/>
          <w:sz w:val="24"/>
        </w:rPr>
        <w:t>本学年，转专业学生68名，占全日制在校本科生数比例为0.73%。辅修的学生44名，占全日制在校本科生数比例为0.47%。获得双学位学生150名，占全日制在校本科生数比例为1.61%。</w:t>
      </w:r>
    </w:p>
    <w:p>
      <w:pPr>
        <w:adjustRightInd w:val="0"/>
        <w:snapToGrid w:val="0"/>
        <w:jc w:val="left"/>
      </w:pPr>
      <w:r>
        <w:rPr>
          <w:rFonts w:ascii="Calibri" w:hAnsi="Calibri" w:eastAsia="宋体" w:cs="Times New Roman"/>
          <w:szCs w:val="22"/>
        </w:rPr>
        <w:tab/>
      </w:r>
    </w:p>
    <w:p>
      <w:pPr>
        <w:pStyle w:val="2"/>
        <w:widowControl/>
        <w:adjustRightInd w:val="0"/>
        <w:snapToGrid w:val="0"/>
        <w:spacing w:before="0" w:after="0" w:line="240" w:lineRule="auto"/>
        <w:jc w:val="left"/>
      </w:pPr>
      <w:r>
        <w:rPr>
          <w:rFonts w:hint="eastAsia" w:ascii="黑体" w:hAnsi="宋体" w:eastAsia="黑体" w:cs="黑体"/>
          <w:sz w:val="30"/>
          <w:szCs w:val="30"/>
        </w:rPr>
        <w:t>七、特色发展</w:t>
      </w:r>
    </w:p>
    <w:p>
      <w:pPr>
        <w:adjustRightInd w:val="0"/>
        <w:snapToGrid w:val="0"/>
        <w:ind w:firstLine="554" w:firstLineChars="200"/>
        <w:rPr>
          <w:rFonts w:asciiTheme="minorEastAsia" w:hAnsiTheme="minorEastAsia" w:cstheme="minorEastAsia"/>
          <w:b/>
          <w:spacing w:val="-2"/>
          <w:sz w:val="28"/>
          <w:szCs w:val="28"/>
        </w:rPr>
      </w:pPr>
      <w:r>
        <w:rPr>
          <w:rFonts w:hint="eastAsia" w:asciiTheme="minorEastAsia" w:hAnsiTheme="minorEastAsia" w:cstheme="minorEastAsia"/>
          <w:b/>
          <w:spacing w:val="-2"/>
          <w:sz w:val="28"/>
          <w:szCs w:val="28"/>
        </w:rPr>
        <w:t>1.思政教育成效显、亮点多。</w:t>
      </w:r>
    </w:p>
    <w:p>
      <w:pPr>
        <w:pStyle w:val="2"/>
        <w:widowControl/>
        <w:adjustRightInd w:val="0"/>
        <w:snapToGrid w:val="0"/>
        <w:spacing w:before="0" w:after="0" w:line="240" w:lineRule="auto"/>
        <w:ind w:firstLine="480" w:firstLineChars="200"/>
        <w:jc w:val="left"/>
        <w:rPr>
          <w:rFonts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学校以习近平新时代中国特色社会主义思想为指引，坚持“为党育人，为国育才”的导向，坚持“育人为本、德育为先、能力为重、全面发展”的人才培养思路，努力培养德智体美劳全面发展的社会主义建设者和接班人，思想政治教育工作</w:t>
      </w:r>
      <w:r>
        <w:rPr>
          <w:rFonts w:hint="eastAsia" w:asciiTheme="minorEastAsia" w:hAnsiTheme="minorEastAsia" w:eastAsiaTheme="minorEastAsia" w:cstheme="minorEastAsia"/>
          <w:b w:val="0"/>
          <w:bCs/>
          <w:spacing w:val="-2"/>
          <w:sz w:val="24"/>
          <w:szCs w:val="24"/>
        </w:rPr>
        <w:t>成效显、亮点多，</w:t>
      </w:r>
      <w:r>
        <w:rPr>
          <w:rFonts w:hint="eastAsia" w:asciiTheme="minorEastAsia" w:hAnsiTheme="minorEastAsia" w:eastAsiaTheme="minorEastAsia" w:cstheme="minorEastAsia"/>
          <w:b w:val="0"/>
          <w:bCs/>
          <w:sz w:val="24"/>
          <w:szCs w:val="24"/>
        </w:rPr>
        <w:t>走在全省高校的前列。在2017年全省高校思政工作专项督查中，得分名列第一。在2017年全省文明校园评比中，被评为江西省高校首届十大文明校园。在2019年下半年开展的“不忘初心、牢记使命”主题教育中，我校的主题教育工作得到中央、省巡回指导组的好评，并被中国教育报、江西日报做专题报道。</w:t>
      </w:r>
    </w:p>
    <w:p>
      <w:pPr>
        <w:adjustRightInd w:val="0"/>
        <w:snapToGrid w:val="0"/>
        <w:ind w:firstLine="480" w:firstLineChars="200"/>
        <w:jc w:val="left"/>
        <w:rPr>
          <w:rFonts w:ascii="黑体" w:hAnsi="宋体" w:eastAsia="黑体" w:cs="黑体"/>
          <w:sz w:val="30"/>
          <w:szCs w:val="30"/>
        </w:rPr>
      </w:pPr>
      <w:r>
        <w:rPr>
          <w:rFonts w:hint="eastAsia" w:ascii="宋体" w:hAnsi="宋体" w:cs="Times New Roman"/>
          <w:sz w:val="24"/>
        </w:rPr>
        <w:t>近年来，学校党委全面贯彻落实全国全省高校思想政治工作会议精神，紧紧围绕立德树人这一根本任务，积极推进运行机制、考核机制、激励机制、网络思政、思政理论课教学、校园文化建设等六个创新，逐步形成思想政治工作的合力。配齐建强思想政治工作队伍。做到了专职思想政治工作人员和党务工作人员占全校师生人数的1%，每个学院配备了1名专职组织员，专职辅导员岗位配备比达1:186，专兼职思政理论课教师配备比例达1:282，实行了思政工作教师职称评审“三单”政策和职务职级“双线”晋升机制。坚持把思想政治教育和解决学生实际问题相结合，积极打造“最关爱学生校园”。</w:t>
      </w:r>
      <w:r>
        <w:fldChar w:fldCharType="begin"/>
      </w:r>
      <w:r>
        <w:instrText xml:space="preserve"> HYPERLINK "http://www.baidu.com/link?url=yvHECA4KO3GqFrxsCjpvlBCuPjUA5j82OiugAstLMx7fqmIRyj6W5SM7scdcU0guKc1KVbF2kkjpLQ8VAUxVN_" \t "https://www.baidu.com/_blank" </w:instrText>
      </w:r>
      <w:r>
        <w:fldChar w:fldCharType="separate"/>
      </w:r>
      <w:r>
        <w:rPr>
          <w:rFonts w:hint="eastAsia" w:ascii="宋体" w:hAnsi="宋体" w:cs="Times New Roman"/>
          <w:sz w:val="24"/>
        </w:rPr>
        <w:t>立足“三全育人” 推进思政工作创</w:t>
      </w:r>
      <w:r>
        <w:rPr>
          <w:rFonts w:hint="eastAsia" w:ascii="宋体" w:hAnsi="宋体" w:cs="Times New Roman"/>
          <w:sz w:val="24"/>
        </w:rPr>
        <w:fldChar w:fldCharType="end"/>
      </w:r>
      <w:r>
        <w:rPr>
          <w:rFonts w:hint="eastAsia" w:ascii="宋体" w:hAnsi="宋体" w:cs="Times New Roman"/>
          <w:sz w:val="24"/>
        </w:rPr>
        <w:t>新，组织申报并通过了教育部第二批“三全育人”综合改革试点申报资格审查。深化思政课教育教学改革，建设了思政课智慧教室、VR思政教学研究中心，实现思政课堂教学的线上线下、虚拟与现实相结合。以思政课对接新思想系统工程为抓手，推动习近平新时代中国特色社会主义思想进教案、进课堂、进活动、进头脑。校园文化建设品味大提升，帮扶组建了洞村小溪流留守儿童合唱团，成立了双管编制的专业交响乐团——新余学院爱乐乐团。</w:t>
      </w:r>
    </w:p>
    <w:p>
      <w:pPr>
        <w:pStyle w:val="2"/>
        <w:widowControl/>
        <w:adjustRightInd w:val="0"/>
        <w:snapToGrid w:val="0"/>
        <w:spacing w:before="0" w:after="0" w:line="240" w:lineRule="auto"/>
        <w:ind w:firstLine="480" w:firstLineChars="200"/>
        <w:jc w:val="left"/>
        <w:rPr>
          <w:rFonts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2018</w:t>
      </w:r>
      <w:r>
        <w:rPr>
          <w:rFonts w:hint="eastAsia" w:asciiTheme="minorEastAsia" w:hAnsiTheme="minorEastAsia" w:eastAsiaTheme="minorEastAsia" w:cstheme="minorEastAsia"/>
          <w:b w:val="0"/>
          <w:bCs/>
          <w:sz w:val="24"/>
          <w:szCs w:val="24"/>
          <w:lang w:val="en-US" w:eastAsia="zh-CN"/>
        </w:rPr>
        <w:t>-2019学年</w:t>
      </w:r>
      <w:r>
        <w:rPr>
          <w:rFonts w:hint="eastAsia" w:asciiTheme="minorEastAsia" w:hAnsiTheme="minorEastAsia" w:eastAsiaTheme="minorEastAsia" w:cstheme="minorEastAsia"/>
          <w:b w:val="0"/>
          <w:bCs/>
          <w:sz w:val="24"/>
          <w:szCs w:val="24"/>
        </w:rPr>
        <w:t>，学校不断创新思想政治工作方式方法，积极构建“大思政”工作格局，“三全育人”工作成效明显。教育部思想政治工作专题调研组莅临学校就思想工作进行了专题调研，给予了较高的评价；《人民日报》《光明日报》《光明网》《江西日报》《思政前沿》《新余日报》等媒体也都先后对学校的思想政治教育工作予以了报道，反响强烈。</w:t>
      </w:r>
    </w:p>
    <w:p>
      <w:pPr>
        <w:adjustRightInd w:val="0"/>
        <w:snapToGrid w:val="0"/>
        <w:rPr>
          <w:rFonts w:ascii="宋体" w:hAnsi="宋体" w:cs="宋体"/>
          <w:bCs/>
          <w:sz w:val="24"/>
        </w:rPr>
      </w:pPr>
      <w:r>
        <w:rPr>
          <w:rFonts w:hint="eastAsia" w:ascii="宋体" w:hAnsi="宋体" w:cs="宋体"/>
          <w:bCs/>
          <w:spacing w:val="-2"/>
          <w:sz w:val="24"/>
        </w:rPr>
        <w:t xml:space="preserve"> </w:t>
      </w:r>
    </w:p>
    <w:p>
      <w:pPr>
        <w:adjustRightInd w:val="0"/>
        <w:snapToGrid w:val="0"/>
        <w:ind w:firstLine="562" w:firstLineChars="200"/>
        <w:rPr>
          <w:rFonts w:asciiTheme="minorEastAsia" w:hAnsiTheme="minorEastAsia" w:cstheme="minorEastAsia"/>
          <w:b/>
          <w:sz w:val="28"/>
          <w:szCs w:val="28"/>
        </w:rPr>
      </w:pPr>
      <w:r>
        <w:rPr>
          <w:rFonts w:hint="eastAsia" w:asciiTheme="minorEastAsia" w:hAnsiTheme="minorEastAsia" w:cstheme="minorEastAsia"/>
          <w:b/>
          <w:sz w:val="28"/>
          <w:szCs w:val="28"/>
        </w:rPr>
        <w:t xml:space="preserve">2. </w:t>
      </w:r>
      <w:r>
        <w:rPr>
          <w:rFonts w:hint="eastAsia" w:asciiTheme="minorEastAsia" w:hAnsiTheme="minorEastAsia" w:cstheme="minorEastAsia"/>
          <w:b/>
          <w:spacing w:val="8"/>
          <w:sz w:val="28"/>
          <w:szCs w:val="28"/>
          <w:shd w:val="clear" w:color="auto" w:fill="FFFFFF"/>
        </w:rPr>
        <w:t>产教融合发力强、</w:t>
      </w:r>
      <w:r>
        <w:rPr>
          <w:rFonts w:hint="eastAsia" w:asciiTheme="minorEastAsia" w:hAnsiTheme="minorEastAsia" w:cstheme="minorEastAsia"/>
          <w:b/>
          <w:sz w:val="28"/>
          <w:szCs w:val="28"/>
        </w:rPr>
        <w:t>效果显。</w:t>
      </w:r>
    </w:p>
    <w:p>
      <w:pPr>
        <w:pStyle w:val="9"/>
        <w:widowControl/>
        <w:spacing w:beforeAutospacing="0" w:afterAutospacing="0" w:line="315" w:lineRule="atLeast"/>
        <w:ind w:firstLine="512" w:firstLineChars="200"/>
        <w:jc w:val="both"/>
        <w:rPr>
          <w:rFonts w:asciiTheme="minorEastAsia" w:hAnsiTheme="minorEastAsia" w:cstheme="minorEastAsia"/>
        </w:rPr>
      </w:pPr>
      <w:r>
        <w:rPr>
          <w:rFonts w:hint="eastAsia" w:asciiTheme="minorEastAsia" w:hAnsiTheme="minorEastAsia" w:cstheme="minorEastAsia"/>
          <w:spacing w:val="8"/>
          <w:shd w:val="clear" w:color="auto" w:fill="FFFFFF"/>
        </w:rPr>
        <w:t>我校是是教育部产教融合创新基地首批试点高校、教育部产学合作专业综合改革项目实施高校、江西省首批转型发展试点高校。学校成立了新余学院产教融合发展中心，采用“学校搭台、企业入驻、产教融合”的模式，构建“专业、行业、企业、职业”四位一体的转型发展格局，不断加强内涵建设，加快转型发展，努力把学校建设成一流的应用技术大学，为区域经济社会发展输出高素质应用型人才。</w:t>
      </w:r>
    </w:p>
    <w:p>
      <w:pPr>
        <w:adjustRightInd w:val="0"/>
        <w:snapToGrid w:val="0"/>
        <w:ind w:firstLine="480" w:firstLineChars="200"/>
        <w:rPr>
          <w:rFonts w:asciiTheme="minorEastAsia" w:hAnsiTheme="minorEastAsia" w:cstheme="minorEastAsia"/>
          <w:bCs/>
          <w:sz w:val="24"/>
        </w:rPr>
      </w:pPr>
      <w:r>
        <w:rPr>
          <w:rFonts w:hint="eastAsia" w:asciiTheme="minorEastAsia" w:hAnsiTheme="minorEastAsia" w:cstheme="minorEastAsia"/>
          <w:bCs/>
          <w:sz w:val="24"/>
        </w:rPr>
        <w:t>我校的转型发展、产教整合起步早，持续推进，效果突显，被教育部规建中心教育之弦做过专题报道。体现出以下几个方面的特色。</w:t>
      </w:r>
    </w:p>
    <w:p>
      <w:pPr>
        <w:keepNext w:val="0"/>
        <w:keepLines w:val="0"/>
        <w:pageBreakBefore w:val="0"/>
        <w:widowControl/>
        <w:kinsoku/>
        <w:wordWrap/>
        <w:overflowPunct/>
        <w:topLinePunct w:val="0"/>
        <w:autoSpaceDE/>
        <w:autoSpaceDN/>
        <w:bidi w:val="0"/>
        <w:adjustRightInd/>
        <w:snapToGrid w:val="0"/>
        <w:ind w:firstLine="514" w:firstLineChars="200"/>
        <w:jc w:val="left"/>
        <w:textAlignment w:val="auto"/>
        <w:rPr>
          <w:rFonts w:asciiTheme="minorEastAsia" w:hAnsiTheme="minorEastAsia" w:cstheme="minorEastAsia"/>
          <w:spacing w:val="8"/>
          <w:sz w:val="24"/>
          <w:shd w:val="clear" w:color="auto" w:fill="FFFFFF"/>
        </w:rPr>
      </w:pPr>
      <w:r>
        <w:rPr>
          <w:rFonts w:hint="eastAsia" w:asciiTheme="minorEastAsia" w:hAnsiTheme="minorEastAsia" w:cstheme="minorEastAsia"/>
          <w:b/>
          <w:bCs/>
          <w:spacing w:val="8"/>
          <w:kern w:val="0"/>
          <w:sz w:val="24"/>
          <w:shd w:val="clear" w:color="auto" w:fill="FFFFFF"/>
        </w:rPr>
        <w:t>“5大行动计划”推动学校转型发展。</w:t>
      </w:r>
      <w:r>
        <w:rPr>
          <w:rFonts w:hint="eastAsia" w:asciiTheme="minorEastAsia" w:hAnsiTheme="minorEastAsia" w:cstheme="minorEastAsia"/>
          <w:spacing w:val="8"/>
          <w:kern w:val="0"/>
          <w:sz w:val="24"/>
          <w:shd w:val="clear" w:color="auto" w:fill="FFFFFF"/>
        </w:rPr>
        <w:t>一是</w:t>
      </w:r>
      <w:r>
        <w:rPr>
          <w:rStyle w:val="13"/>
          <w:rFonts w:hint="default" w:asciiTheme="minorEastAsia" w:hAnsiTheme="minorEastAsia" w:eastAsiaTheme="minorEastAsia" w:cstheme="minorEastAsia"/>
          <w:b w:val="0"/>
          <w:color w:val="auto"/>
          <w:spacing w:val="8"/>
          <w:sz w:val="24"/>
          <w:shd w:val="clear" w:color="auto" w:fill="FFFFFF"/>
        </w:rPr>
        <w:t>以体制机制改革行动计划为统领, 营造转型发展制度环境。</w:t>
      </w:r>
      <w:r>
        <w:rPr>
          <w:rFonts w:hint="eastAsia" w:asciiTheme="minorEastAsia" w:hAnsiTheme="minorEastAsia" w:cstheme="minorEastAsia"/>
          <w:spacing w:val="8"/>
          <w:sz w:val="24"/>
          <w:shd w:val="clear" w:color="auto" w:fill="FFFFFF"/>
        </w:rPr>
        <w:t>二是</w:t>
      </w:r>
      <w:r>
        <w:rPr>
          <w:rStyle w:val="13"/>
          <w:rFonts w:hint="default" w:asciiTheme="minorEastAsia" w:hAnsiTheme="minorEastAsia" w:eastAsiaTheme="minorEastAsia" w:cstheme="minorEastAsia"/>
          <w:b w:val="0"/>
          <w:color w:val="auto"/>
          <w:spacing w:val="8"/>
          <w:sz w:val="24"/>
          <w:shd w:val="clear" w:color="auto" w:fill="FFFFFF"/>
        </w:rPr>
        <w:t>实施产教融合发展行动计划,构建转型发展的合作创新模式。</w:t>
      </w:r>
      <w:r>
        <w:rPr>
          <w:rFonts w:hint="eastAsia" w:asciiTheme="minorEastAsia" w:hAnsiTheme="minorEastAsia" w:cstheme="minorEastAsia"/>
          <w:spacing w:val="8"/>
          <w:sz w:val="24"/>
          <w:shd w:val="clear" w:color="auto" w:fill="FFFFFF"/>
        </w:rPr>
        <w:t xml:space="preserve"> 三是</w:t>
      </w:r>
      <w:r>
        <w:rPr>
          <w:rStyle w:val="13"/>
          <w:rFonts w:hint="default" w:asciiTheme="minorEastAsia" w:hAnsiTheme="minorEastAsia" w:eastAsiaTheme="minorEastAsia" w:cstheme="minorEastAsia"/>
          <w:b w:val="0"/>
          <w:color w:val="auto"/>
          <w:spacing w:val="8"/>
          <w:sz w:val="24"/>
          <w:shd w:val="clear" w:color="auto" w:fill="FFFFFF"/>
        </w:rPr>
        <w:t>启动“双师型”队伍建设行动计划, 奠定转型发展师资保障。</w:t>
      </w:r>
      <w:r>
        <w:rPr>
          <w:rFonts w:hint="eastAsia" w:asciiTheme="minorEastAsia" w:hAnsiTheme="minorEastAsia" w:cstheme="minorEastAsia"/>
          <w:spacing w:val="8"/>
          <w:sz w:val="24"/>
          <w:shd w:val="clear" w:color="auto" w:fill="FFFFFF"/>
        </w:rPr>
        <w:t xml:space="preserve"> 四是</w:t>
      </w:r>
      <w:r>
        <w:rPr>
          <w:rStyle w:val="13"/>
          <w:rFonts w:hint="default" w:asciiTheme="minorEastAsia" w:hAnsiTheme="minorEastAsia" w:eastAsiaTheme="minorEastAsia" w:cstheme="minorEastAsia"/>
          <w:b w:val="0"/>
          <w:color w:val="auto"/>
          <w:spacing w:val="8"/>
          <w:sz w:val="24"/>
          <w:shd w:val="clear" w:color="auto" w:fill="FFFFFF"/>
        </w:rPr>
        <w:t>规划特色专业群建设行动计划, 打造特色优势专业。</w:t>
      </w:r>
      <w:r>
        <w:rPr>
          <w:rFonts w:hint="eastAsia" w:asciiTheme="minorEastAsia" w:hAnsiTheme="minorEastAsia" w:cstheme="minorEastAsia"/>
          <w:spacing w:val="8"/>
          <w:sz w:val="24"/>
          <w:shd w:val="clear" w:color="auto" w:fill="FFFFFF"/>
        </w:rPr>
        <w:t>五是</w:t>
      </w:r>
      <w:r>
        <w:rPr>
          <w:rStyle w:val="13"/>
          <w:rFonts w:hint="default" w:asciiTheme="minorEastAsia" w:hAnsiTheme="minorEastAsia" w:eastAsiaTheme="minorEastAsia" w:cstheme="minorEastAsia"/>
          <w:b w:val="0"/>
          <w:color w:val="auto"/>
          <w:spacing w:val="8"/>
          <w:sz w:val="24"/>
          <w:shd w:val="clear" w:color="auto" w:fill="FFFFFF"/>
        </w:rPr>
        <w:t>推进应用型课程建设行动计划, 确保人才培养落到实处。</w:t>
      </w:r>
      <w:r>
        <w:rPr>
          <w:rFonts w:hint="eastAsia" w:asciiTheme="minorEastAsia" w:hAnsiTheme="minorEastAsia" w:cstheme="minorEastAsia"/>
          <w:spacing w:val="8"/>
          <w:sz w:val="24"/>
          <w:shd w:val="clear" w:color="auto" w:fill="FFFFFF"/>
        </w:rPr>
        <w:t xml:space="preserve"> </w:t>
      </w:r>
    </w:p>
    <w:p>
      <w:pPr>
        <w:widowControl/>
        <w:ind w:firstLine="514" w:firstLineChars="200"/>
        <w:jc w:val="left"/>
        <w:rPr>
          <w:rFonts w:hint="eastAsia" w:ascii="宋体" w:hAnsi="宋体" w:eastAsia="宋体" w:cs="宋体"/>
          <w:bCs/>
          <w:sz w:val="24"/>
          <w:szCs w:val="24"/>
        </w:rPr>
      </w:pPr>
      <w:r>
        <w:rPr>
          <w:rFonts w:hint="eastAsia" w:asciiTheme="minorEastAsia" w:hAnsiTheme="minorEastAsia" w:cstheme="minorEastAsia"/>
          <w:b/>
          <w:bCs/>
          <w:spacing w:val="8"/>
          <w:kern w:val="0"/>
          <w:sz w:val="24"/>
          <w:shd w:val="clear" w:color="auto" w:fill="FFFFFF"/>
        </w:rPr>
        <w:t>“4321”推进产教融合基地建设。</w:t>
      </w:r>
      <w:r>
        <w:rPr>
          <w:rStyle w:val="13"/>
          <w:rFonts w:hint="default" w:asciiTheme="minorEastAsia" w:hAnsiTheme="minorEastAsia" w:eastAsiaTheme="minorEastAsia" w:cstheme="minorEastAsia"/>
          <w:b w:val="0"/>
          <w:bCs/>
          <w:color w:val="auto"/>
          <w:spacing w:val="8"/>
          <w:kern w:val="0"/>
          <w:sz w:val="24"/>
          <w:shd w:val="clear" w:color="auto" w:fill="FFFFFF"/>
        </w:rPr>
        <w:t>四融合：</w:t>
      </w:r>
      <w:r>
        <w:rPr>
          <w:rFonts w:hint="eastAsia" w:asciiTheme="minorEastAsia" w:hAnsiTheme="minorEastAsia" w:cstheme="minorEastAsia"/>
          <w:bCs/>
          <w:spacing w:val="8"/>
          <w:sz w:val="24"/>
          <w:shd w:val="clear" w:color="auto" w:fill="FFFFFF"/>
        </w:rPr>
        <w:t>二级学院与企业行业相融合、教学内容与企业项目相融合、教师科研与企业研发相融合、教学评价与企业评价相融合。</w:t>
      </w:r>
      <w:r>
        <w:rPr>
          <w:rStyle w:val="13"/>
          <w:rFonts w:hint="default" w:asciiTheme="minorEastAsia" w:hAnsiTheme="minorEastAsia" w:eastAsiaTheme="minorEastAsia" w:cstheme="minorEastAsia"/>
          <w:b w:val="0"/>
          <w:bCs/>
          <w:color w:val="auto"/>
          <w:spacing w:val="8"/>
          <w:kern w:val="0"/>
          <w:sz w:val="24"/>
          <w:shd w:val="clear" w:color="auto" w:fill="FFFFFF"/>
        </w:rPr>
        <w:t>三面向：</w:t>
      </w:r>
      <w:r>
        <w:rPr>
          <w:rFonts w:hint="eastAsia" w:asciiTheme="minorEastAsia" w:hAnsiTheme="minorEastAsia" w:cstheme="minorEastAsia"/>
          <w:bCs/>
          <w:spacing w:val="8"/>
          <w:sz w:val="24"/>
          <w:shd w:val="clear" w:color="auto" w:fill="FFFFFF"/>
        </w:rPr>
        <w:t>面向地方</w:t>
      </w:r>
      <w:r>
        <w:rPr>
          <w:rFonts w:hint="eastAsia" w:ascii="宋体" w:hAnsi="宋体" w:eastAsia="宋体" w:cs="宋体"/>
          <w:bCs/>
          <w:spacing w:val="8"/>
          <w:sz w:val="24"/>
          <w:szCs w:val="24"/>
          <w:shd w:val="clear" w:color="auto" w:fill="FFFFFF"/>
        </w:rPr>
        <w:t>、面向企业、面向工程。</w:t>
      </w:r>
      <w:r>
        <w:rPr>
          <w:rStyle w:val="13"/>
          <w:rFonts w:hint="eastAsia" w:ascii="宋体" w:hAnsi="宋体" w:eastAsia="宋体" w:cs="宋体"/>
          <w:b w:val="0"/>
          <w:bCs/>
          <w:color w:val="auto"/>
          <w:spacing w:val="8"/>
          <w:kern w:val="0"/>
          <w:sz w:val="24"/>
          <w:szCs w:val="24"/>
          <w:shd w:val="clear" w:color="auto" w:fill="FFFFFF"/>
        </w:rPr>
        <w:t>二提升：</w:t>
      </w:r>
      <w:r>
        <w:rPr>
          <w:rFonts w:hint="eastAsia" w:ascii="宋体" w:hAnsi="宋体" w:eastAsia="宋体" w:cs="宋体"/>
          <w:bCs/>
          <w:spacing w:val="8"/>
          <w:sz w:val="24"/>
          <w:szCs w:val="24"/>
          <w:shd w:val="clear" w:color="auto" w:fill="FFFFFF"/>
        </w:rPr>
        <w:t>全面提升教师应用科研水平、全面提升学生的创新创业能力。</w:t>
      </w:r>
      <w:r>
        <w:rPr>
          <w:rStyle w:val="13"/>
          <w:rFonts w:hint="eastAsia" w:ascii="宋体" w:hAnsi="宋体" w:eastAsia="宋体" w:cs="宋体"/>
          <w:b w:val="0"/>
          <w:bCs/>
          <w:color w:val="auto"/>
          <w:spacing w:val="8"/>
          <w:kern w:val="0"/>
          <w:sz w:val="24"/>
          <w:szCs w:val="24"/>
          <w:shd w:val="clear" w:color="auto" w:fill="FFFFFF"/>
        </w:rPr>
        <w:t>一个目标：</w:t>
      </w:r>
      <w:r>
        <w:rPr>
          <w:rFonts w:hint="eastAsia" w:ascii="宋体" w:hAnsi="宋体" w:eastAsia="宋体" w:cs="宋体"/>
          <w:bCs/>
          <w:spacing w:val="8"/>
          <w:sz w:val="24"/>
          <w:szCs w:val="24"/>
          <w:shd w:val="clear" w:color="auto" w:fill="FFFFFF"/>
        </w:rPr>
        <w:t>将基地打造成为江西省转型发展和应用型人才培养的示范基地。</w:t>
      </w:r>
    </w:p>
    <w:p>
      <w:pPr>
        <w:widowControl/>
        <w:ind w:firstLine="514" w:firstLineChars="200"/>
        <w:jc w:val="left"/>
        <w:rPr>
          <w:rFonts w:hint="eastAsia" w:ascii="宋体" w:hAnsi="宋体" w:eastAsia="宋体" w:cs="宋体"/>
          <w:sz w:val="24"/>
          <w:szCs w:val="24"/>
        </w:rPr>
      </w:pPr>
      <w:r>
        <w:rPr>
          <w:rFonts w:hint="eastAsia" w:ascii="宋体" w:hAnsi="宋体" w:eastAsia="宋体" w:cs="宋体"/>
          <w:b/>
          <w:bCs/>
          <w:spacing w:val="8"/>
          <w:kern w:val="0"/>
          <w:sz w:val="24"/>
          <w:szCs w:val="24"/>
          <w:shd w:val="clear" w:color="auto" w:fill="FFFFFF"/>
        </w:rPr>
        <w:t>“六个一”构建校企深度融合的应用型人才培养模式。</w:t>
      </w:r>
      <w:r>
        <w:rPr>
          <w:rFonts w:hint="eastAsia" w:ascii="宋体" w:hAnsi="宋体" w:eastAsia="宋体" w:cs="宋体"/>
          <w:spacing w:val="8"/>
          <w:kern w:val="0"/>
          <w:sz w:val="24"/>
          <w:szCs w:val="24"/>
          <w:shd w:val="clear" w:color="auto" w:fill="FFFFFF"/>
        </w:rPr>
        <w:t>具体包括：</w:t>
      </w:r>
      <w:r>
        <w:rPr>
          <w:rStyle w:val="13"/>
          <w:rFonts w:hint="eastAsia" w:ascii="宋体" w:hAnsi="宋体" w:eastAsia="宋体" w:cs="宋体"/>
          <w:b w:val="0"/>
          <w:color w:val="auto"/>
          <w:spacing w:val="8"/>
          <w:sz w:val="24"/>
          <w:szCs w:val="24"/>
          <w:shd w:val="clear" w:color="auto" w:fill="FFFFFF"/>
        </w:rPr>
        <w:t>一个长效的校企融合机制</w:t>
      </w:r>
      <w:r>
        <w:rPr>
          <w:rStyle w:val="13"/>
          <w:rFonts w:hint="eastAsia" w:ascii="宋体" w:hAnsi="宋体" w:eastAsia="宋体" w:cs="宋体"/>
          <w:b w:val="0"/>
          <w:color w:val="auto"/>
          <w:spacing w:val="8"/>
          <w:sz w:val="24"/>
          <w:szCs w:val="24"/>
          <w:shd w:val="clear" w:color="auto" w:fill="FFFFFF"/>
          <w:lang w:eastAsia="zh-CN"/>
        </w:rPr>
        <w:t>，</w:t>
      </w:r>
      <w:r>
        <w:rPr>
          <w:rStyle w:val="13"/>
          <w:rFonts w:hint="eastAsia" w:ascii="宋体" w:hAnsi="宋体" w:eastAsia="宋体" w:cs="宋体"/>
          <w:b w:val="0"/>
          <w:color w:val="auto"/>
          <w:spacing w:val="8"/>
          <w:sz w:val="24"/>
          <w:szCs w:val="24"/>
          <w:shd w:val="clear" w:color="auto" w:fill="FFFFFF"/>
        </w:rPr>
        <w:t>一个具有企业真实生产环境的创新基地</w:t>
      </w:r>
      <w:r>
        <w:rPr>
          <w:rStyle w:val="13"/>
          <w:rFonts w:hint="eastAsia" w:ascii="宋体" w:hAnsi="宋体" w:eastAsia="宋体" w:cs="宋体"/>
          <w:b w:val="0"/>
          <w:color w:val="auto"/>
          <w:spacing w:val="8"/>
          <w:sz w:val="24"/>
          <w:szCs w:val="24"/>
          <w:shd w:val="clear" w:color="auto" w:fill="FFFFFF"/>
          <w:lang w:eastAsia="zh-CN"/>
        </w:rPr>
        <w:t>，</w:t>
      </w:r>
      <w:r>
        <w:rPr>
          <w:rStyle w:val="13"/>
          <w:rFonts w:hint="eastAsia" w:ascii="宋体" w:hAnsi="宋体" w:eastAsia="宋体" w:cs="宋体"/>
          <w:b w:val="0"/>
          <w:color w:val="auto"/>
          <w:spacing w:val="8"/>
          <w:sz w:val="24"/>
          <w:szCs w:val="24"/>
          <w:shd w:val="clear" w:color="auto" w:fill="FFFFFF"/>
        </w:rPr>
        <w:t>一个具有企业特色的人才培养方案</w:t>
      </w:r>
      <w:r>
        <w:rPr>
          <w:rStyle w:val="13"/>
          <w:rFonts w:hint="eastAsia" w:ascii="宋体" w:hAnsi="宋体" w:eastAsia="宋体" w:cs="宋体"/>
          <w:b w:val="0"/>
          <w:color w:val="auto"/>
          <w:spacing w:val="8"/>
          <w:sz w:val="24"/>
          <w:szCs w:val="24"/>
          <w:shd w:val="clear" w:color="auto" w:fill="FFFFFF"/>
          <w:lang w:eastAsia="zh-CN"/>
        </w:rPr>
        <w:t>，</w:t>
      </w:r>
      <w:r>
        <w:rPr>
          <w:rStyle w:val="13"/>
          <w:rFonts w:hint="eastAsia" w:ascii="宋体" w:hAnsi="宋体" w:eastAsia="宋体" w:cs="宋体"/>
          <w:b w:val="0"/>
          <w:color w:val="auto"/>
          <w:spacing w:val="8"/>
          <w:sz w:val="24"/>
          <w:szCs w:val="24"/>
          <w:shd w:val="clear" w:color="auto" w:fill="FFFFFF"/>
        </w:rPr>
        <w:t>一个校企混编师资团队</w:t>
      </w:r>
      <w:r>
        <w:rPr>
          <w:rStyle w:val="13"/>
          <w:rFonts w:hint="eastAsia" w:ascii="宋体" w:hAnsi="宋体" w:eastAsia="宋体" w:cs="宋体"/>
          <w:b w:val="0"/>
          <w:color w:val="auto"/>
          <w:spacing w:val="8"/>
          <w:sz w:val="24"/>
          <w:szCs w:val="24"/>
          <w:shd w:val="clear" w:color="auto" w:fill="FFFFFF"/>
          <w:lang w:eastAsia="zh-CN"/>
        </w:rPr>
        <w:t>，</w:t>
      </w:r>
      <w:r>
        <w:rPr>
          <w:rStyle w:val="13"/>
          <w:rFonts w:hint="eastAsia" w:ascii="宋体" w:hAnsi="宋体" w:eastAsia="宋体" w:cs="宋体"/>
          <w:b w:val="0"/>
          <w:color w:val="auto"/>
          <w:spacing w:val="8"/>
          <w:sz w:val="24"/>
          <w:szCs w:val="24"/>
          <w:shd w:val="clear" w:color="auto" w:fill="FFFFFF"/>
        </w:rPr>
        <w:t>一个学生职素培养体系</w:t>
      </w:r>
      <w:r>
        <w:rPr>
          <w:rStyle w:val="13"/>
          <w:rFonts w:hint="eastAsia" w:ascii="宋体" w:hAnsi="宋体" w:eastAsia="宋体" w:cs="宋体"/>
          <w:b w:val="0"/>
          <w:color w:val="auto"/>
          <w:spacing w:val="8"/>
          <w:sz w:val="24"/>
          <w:szCs w:val="24"/>
          <w:shd w:val="clear" w:color="auto" w:fill="FFFFFF"/>
          <w:lang w:eastAsia="zh-CN"/>
        </w:rPr>
        <w:t>，</w:t>
      </w:r>
      <w:r>
        <w:rPr>
          <w:rStyle w:val="13"/>
          <w:rFonts w:hint="eastAsia" w:ascii="宋体" w:hAnsi="宋体" w:eastAsia="宋体" w:cs="宋体"/>
          <w:b w:val="0"/>
          <w:color w:val="auto"/>
          <w:spacing w:val="8"/>
          <w:sz w:val="24"/>
          <w:szCs w:val="24"/>
          <w:shd w:val="clear" w:color="auto" w:fill="FFFFFF"/>
        </w:rPr>
        <w:t>一个“N+2+1”的过程考核方式。</w:t>
      </w:r>
    </w:p>
    <w:p>
      <w:pPr>
        <w:widowControl/>
        <w:ind w:firstLine="514" w:firstLineChars="200"/>
        <w:jc w:val="left"/>
        <w:rPr>
          <w:rFonts w:hint="eastAsia" w:ascii="宋体" w:hAnsi="宋体" w:eastAsia="宋体" w:cs="宋体"/>
          <w:bCs/>
          <w:sz w:val="24"/>
          <w:szCs w:val="24"/>
        </w:rPr>
      </w:pPr>
      <w:r>
        <w:rPr>
          <w:rFonts w:hint="eastAsia" w:ascii="宋体" w:hAnsi="宋体" w:eastAsia="宋体" w:cs="宋体"/>
          <w:b/>
          <w:bCs/>
          <w:spacing w:val="8"/>
          <w:kern w:val="0"/>
          <w:sz w:val="24"/>
          <w:szCs w:val="24"/>
          <w:shd w:val="clear" w:color="auto" w:fill="FFFFFF"/>
        </w:rPr>
        <w:t>四个方面成绩体现转型成效。</w:t>
      </w:r>
      <w:r>
        <w:rPr>
          <w:rFonts w:hint="eastAsia" w:ascii="宋体" w:hAnsi="宋体" w:eastAsia="宋体" w:cs="宋体"/>
          <w:spacing w:val="8"/>
          <w:kern w:val="0"/>
          <w:sz w:val="24"/>
          <w:szCs w:val="24"/>
          <w:shd w:val="clear" w:color="auto" w:fill="FFFFFF"/>
        </w:rPr>
        <w:t>一是师资团队向双师型转变</w:t>
      </w:r>
      <w:r>
        <w:rPr>
          <w:rFonts w:hint="eastAsia" w:ascii="宋体" w:hAnsi="宋体" w:eastAsia="宋体" w:cs="宋体"/>
          <w:spacing w:val="8"/>
          <w:kern w:val="0"/>
          <w:sz w:val="24"/>
          <w:szCs w:val="24"/>
          <w:shd w:val="clear" w:color="auto" w:fill="FFFFFF"/>
          <w:lang w:eastAsia="zh-CN"/>
        </w:rPr>
        <w:t>，</w:t>
      </w:r>
      <w:r>
        <w:rPr>
          <w:rFonts w:hint="eastAsia" w:ascii="宋体" w:hAnsi="宋体" w:eastAsia="宋体" w:cs="宋体"/>
          <w:spacing w:val="8"/>
          <w:kern w:val="0"/>
          <w:sz w:val="24"/>
          <w:szCs w:val="24"/>
          <w:shd w:val="clear" w:color="auto" w:fill="FFFFFF"/>
        </w:rPr>
        <w:t>二是教学改革成效显著</w:t>
      </w:r>
      <w:r>
        <w:rPr>
          <w:rFonts w:hint="eastAsia" w:ascii="宋体" w:hAnsi="宋体" w:eastAsia="宋体" w:cs="宋体"/>
          <w:spacing w:val="8"/>
          <w:kern w:val="0"/>
          <w:sz w:val="24"/>
          <w:szCs w:val="24"/>
          <w:shd w:val="clear" w:color="auto" w:fill="FFFFFF"/>
          <w:lang w:eastAsia="zh-CN"/>
        </w:rPr>
        <w:t>，</w:t>
      </w:r>
      <w:r>
        <w:rPr>
          <w:rFonts w:hint="eastAsia" w:ascii="宋体" w:hAnsi="宋体" w:eastAsia="宋体" w:cs="宋体"/>
          <w:spacing w:val="8"/>
          <w:sz w:val="24"/>
          <w:szCs w:val="24"/>
          <w:shd w:val="clear" w:color="auto" w:fill="FFFFFF"/>
        </w:rPr>
        <w:t>三是服务地方提质增速</w:t>
      </w:r>
      <w:r>
        <w:rPr>
          <w:rFonts w:hint="eastAsia" w:ascii="宋体" w:hAnsi="宋体" w:eastAsia="宋体" w:cs="宋体"/>
          <w:spacing w:val="8"/>
          <w:sz w:val="24"/>
          <w:szCs w:val="24"/>
          <w:shd w:val="clear" w:color="auto" w:fill="FFFFFF"/>
          <w:lang w:eastAsia="zh-CN"/>
        </w:rPr>
        <w:t>，</w:t>
      </w:r>
      <w:r>
        <w:rPr>
          <w:rFonts w:hint="eastAsia" w:ascii="宋体" w:hAnsi="宋体" w:eastAsia="宋体" w:cs="宋体"/>
          <w:spacing w:val="8"/>
          <w:sz w:val="24"/>
          <w:szCs w:val="24"/>
          <w:shd w:val="clear" w:color="auto" w:fill="FFFFFF"/>
        </w:rPr>
        <w:t>四是学生能力全</w:t>
      </w:r>
      <w:r>
        <w:rPr>
          <w:rFonts w:hint="eastAsia" w:ascii="宋体" w:hAnsi="宋体" w:eastAsia="宋体" w:cs="宋体"/>
          <w:spacing w:val="8"/>
          <w:sz w:val="24"/>
          <w:szCs w:val="24"/>
          <w:shd w:val="clear" w:color="auto" w:fill="FFFFFF"/>
          <w:lang w:eastAsia="zh-CN"/>
        </w:rPr>
        <w:t>面</w:t>
      </w:r>
      <w:r>
        <w:rPr>
          <w:rFonts w:hint="eastAsia" w:ascii="宋体" w:hAnsi="宋体" w:eastAsia="宋体" w:cs="宋体"/>
          <w:spacing w:val="8"/>
          <w:sz w:val="24"/>
          <w:szCs w:val="24"/>
          <w:shd w:val="clear" w:color="auto" w:fill="FFFFFF"/>
        </w:rPr>
        <w:t>发展。</w:t>
      </w:r>
    </w:p>
    <w:p>
      <w:pPr>
        <w:rPr>
          <w:rFonts w:hint="eastAsia" w:ascii="宋体" w:hAnsi="宋体" w:eastAsia="宋体" w:cs="宋体"/>
          <w:bCs/>
          <w:sz w:val="24"/>
          <w:szCs w:val="24"/>
        </w:rPr>
      </w:pPr>
    </w:p>
    <w:p>
      <w:pPr>
        <w:pStyle w:val="2"/>
        <w:widowControl/>
        <w:adjustRightInd w:val="0"/>
        <w:snapToGrid w:val="0"/>
        <w:spacing w:before="0" w:after="0" w:line="240" w:lineRule="auto"/>
        <w:jc w:val="left"/>
      </w:pPr>
      <w:r>
        <w:rPr>
          <w:rFonts w:hint="eastAsia" w:ascii="黑体" w:hAnsi="宋体" w:eastAsia="黑体" w:cs="黑体"/>
          <w:sz w:val="30"/>
          <w:szCs w:val="30"/>
        </w:rPr>
        <w:t>八、存在问题及改进计划</w:t>
      </w: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rPr>
          <w:rFonts w:asciiTheme="minorEastAsia" w:hAnsiTheme="minorEastAsia" w:cstheme="minorEastAsia"/>
          <w:b/>
          <w:sz w:val="28"/>
          <w:szCs w:val="28"/>
        </w:rPr>
      </w:pPr>
      <w:r>
        <w:rPr>
          <w:rFonts w:hint="eastAsia" w:asciiTheme="minorEastAsia" w:hAnsiTheme="minorEastAsia" w:cstheme="minorEastAsia"/>
          <w:b/>
          <w:sz w:val="28"/>
          <w:szCs w:val="28"/>
        </w:rPr>
        <w:t>1.应用型人才培养的内涵仍需充实</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ascii="黑体" w:hAnsi="黑体" w:eastAsia="黑体" w:cs="黑体"/>
          <w:bCs/>
          <w:sz w:val="24"/>
        </w:rPr>
      </w:pPr>
      <w:r>
        <w:rPr>
          <w:rFonts w:hint="eastAsia" w:ascii="黑体" w:hAnsi="黑体" w:eastAsia="黑体" w:cs="黑体"/>
          <w:bCs/>
          <w:sz w:val="24"/>
        </w:rPr>
        <w:t>（1）突出问题</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ascii="宋体" w:hAnsi="宋体" w:cs="宋体"/>
          <w:bCs/>
          <w:sz w:val="24"/>
        </w:rPr>
      </w:pPr>
      <w:r>
        <w:rPr>
          <w:rFonts w:hint="eastAsia" w:ascii="宋体" w:hAnsi="宋体" w:cs="宋体"/>
          <w:bCs/>
          <w:sz w:val="24"/>
        </w:rPr>
        <w:t>表现在专业建设和课程建设中。一是学校的部分文理兼招的专业却少见“以生为本”的差异化培养措施，不少辅修双学位的专业其制度设计缺乏面向特殊专业和学生的更具操作性的培养方案。全校自己教师开设的选修课程数量较少，无法满足学生全面成长的需求。二是专业认证建设工作还需加强，工程教育专业认证试点建设工作和师范专业认证准备工作推进缓慢，相关建设方案和具体工作质量还有待提升。三是课程建设力度不足，校级、省级的各类精品课程、应用型课程、“课程思政”示范课程立项项目不多，课程建设力度不强，目前仅有3门省级精品在线开放课程、1门省级“课程思政”示范课程和3门校级“课程思政”示范课程。四是教师开展教学研究、推进教学改革不主动，改革成效不够明显，教学内容和教学方法与培养高素质应用性人才的要求还有不少差距。部分学院和专业对于学校提倡的数字化教学、信息化管理、线上线下智慧学习等先进的教学方式方法，理解掌握的不够全面、精准和透彻，全校教师参与移动教学比赛的积极性不高。五是学校的自编教材不多，整体质量特别是应用型人才培养的教材数量和质量需要进一步下足功夫。</w:t>
      </w:r>
    </w:p>
    <w:p>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ind w:firstLine="482" w:firstLineChars="200"/>
        <w:textAlignment w:val="auto"/>
        <w:rPr>
          <w:rFonts w:hint="eastAsia" w:asciiTheme="minorEastAsia" w:hAnsiTheme="minorEastAsia" w:cstheme="minorEastAsia"/>
          <w:b/>
          <w:sz w:val="24"/>
        </w:rPr>
      </w:pPr>
      <w:r>
        <w:rPr>
          <w:rFonts w:hint="eastAsia" w:asciiTheme="minorEastAsia" w:hAnsiTheme="minorEastAsia" w:cstheme="minorEastAsia"/>
          <w:b/>
          <w:sz w:val="24"/>
        </w:rPr>
        <w:t>改进计划</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宋体" w:hAnsi="宋体" w:cs="宋体"/>
          <w:bCs/>
          <w:sz w:val="24"/>
          <w:vertAlign w:val="baseline"/>
          <w:lang w:eastAsia="zh-CN"/>
        </w:rPr>
      </w:pPr>
      <w:r>
        <w:rPr>
          <w:rFonts w:hint="eastAsia" w:ascii="宋体" w:hAnsi="宋体" w:cs="宋体"/>
          <w:bCs/>
          <w:sz w:val="24"/>
        </w:rPr>
        <w:t>必须把专业</w:t>
      </w:r>
      <w:r>
        <w:rPr>
          <w:rFonts w:hint="eastAsia" w:ascii="宋体" w:hAnsi="宋体" w:cs="宋体"/>
          <w:bCs/>
          <w:sz w:val="24"/>
          <w:lang w:eastAsia="zh-CN"/>
        </w:rPr>
        <w:t>和课程</w:t>
      </w:r>
      <w:r>
        <w:rPr>
          <w:rFonts w:hint="eastAsia" w:ascii="宋体" w:hAnsi="宋体" w:cs="宋体"/>
          <w:bCs/>
          <w:sz w:val="24"/>
        </w:rPr>
        <w:t>内涵建设体现到各教学环节上。</w:t>
      </w:r>
      <w:r>
        <w:rPr>
          <w:rFonts w:hint="eastAsia" w:ascii="宋体" w:hAnsi="宋体" w:eastAsia="宋体" w:cs="宋体"/>
          <w:b w:val="0"/>
          <w:bCs/>
          <w:sz w:val="24"/>
          <w:szCs w:val="24"/>
          <w:lang w:eastAsia="zh-CN"/>
        </w:rPr>
        <w:t>一是继续认真实施好《</w:t>
      </w:r>
      <w:r>
        <w:rPr>
          <w:rFonts w:hint="eastAsia" w:ascii="宋体" w:hAnsi="宋体" w:eastAsia="宋体" w:cs="宋体"/>
          <w:b w:val="0"/>
          <w:bCs/>
          <w:color w:val="000000"/>
          <w:sz w:val="24"/>
          <w:szCs w:val="24"/>
        </w:rPr>
        <w:t>新余学院本科生修读双学位、辅修专业的暂行规定</w:t>
      </w:r>
      <w:r>
        <w:rPr>
          <w:rFonts w:hint="eastAsia" w:ascii="宋体" w:hAnsi="宋体" w:eastAsia="宋体" w:cs="宋体"/>
          <w:b w:val="0"/>
          <w:bCs/>
          <w:sz w:val="24"/>
          <w:szCs w:val="24"/>
          <w:lang w:eastAsia="zh-CN"/>
        </w:rPr>
        <w:t>》（</w:t>
      </w:r>
      <w:r>
        <w:rPr>
          <w:rFonts w:hint="eastAsia" w:ascii="宋体" w:hAnsi="宋体" w:eastAsia="宋体" w:cs="宋体"/>
          <w:b w:val="0"/>
          <w:bCs/>
          <w:i w:val="0"/>
          <w:caps w:val="0"/>
          <w:color w:val="000000"/>
          <w:spacing w:val="0"/>
          <w:kern w:val="0"/>
          <w:sz w:val="24"/>
          <w:szCs w:val="24"/>
          <w:lang w:val="en-US" w:eastAsia="zh-CN" w:bidi="ar"/>
        </w:rPr>
        <w:t>余学院发〔2013〕 9号</w:t>
      </w:r>
      <w:r>
        <w:rPr>
          <w:rFonts w:hint="eastAsia" w:ascii="宋体" w:hAnsi="宋体" w:eastAsia="宋体" w:cs="宋体"/>
          <w:b w:val="0"/>
          <w:bCs/>
          <w:sz w:val="24"/>
          <w:szCs w:val="24"/>
          <w:lang w:eastAsia="zh-CN"/>
        </w:rPr>
        <w:t>），制定好</w:t>
      </w:r>
      <w:r>
        <w:rPr>
          <w:rFonts w:hint="eastAsia" w:ascii="宋体" w:hAnsi="宋体" w:cs="宋体"/>
          <w:bCs/>
          <w:sz w:val="24"/>
        </w:rPr>
        <w:t>面向特殊专业和学生的更具操作性的培养方案。</w:t>
      </w:r>
      <w:r>
        <w:rPr>
          <w:rFonts w:hint="eastAsia" w:ascii="宋体" w:hAnsi="宋体" w:cs="宋体"/>
          <w:bCs/>
          <w:sz w:val="24"/>
          <w:lang w:eastAsia="zh-CN"/>
        </w:rPr>
        <w:t>出台激励措施鼓励和规范全校自己教师开设选修课。探索模块化、学分制课程改革，使学生有更大的选择适合自己学习的课程的权力和机会。</w:t>
      </w:r>
      <w:r>
        <w:rPr>
          <w:rFonts w:hint="eastAsia" w:ascii="宋体" w:hAnsi="宋体" w:cs="宋体"/>
          <w:bCs/>
          <w:sz w:val="24"/>
          <w:vertAlign w:val="baseline"/>
          <w:lang w:eastAsia="zh-CN"/>
        </w:rPr>
        <w:t>二是采取切实措施加强</w:t>
      </w:r>
      <w:r>
        <w:rPr>
          <w:rFonts w:hint="eastAsia" w:ascii="宋体" w:hAnsi="宋体" w:cs="宋体"/>
          <w:bCs/>
          <w:sz w:val="24"/>
        </w:rPr>
        <w:t>工程教育专业认证试点建设工作和师范专业认证准备工作</w:t>
      </w:r>
      <w:r>
        <w:rPr>
          <w:rFonts w:hint="eastAsia" w:ascii="宋体" w:hAnsi="宋体" w:cs="宋体"/>
          <w:bCs/>
          <w:sz w:val="24"/>
          <w:lang w:eastAsia="zh-CN"/>
        </w:rPr>
        <w:t>，提供必须的经费支持，制订出专业认证工作的具体规划，与学校的十四五规划对接，明确目标任务和责任单位、责任人。</w:t>
      </w:r>
      <w:r>
        <w:rPr>
          <w:rFonts w:hint="eastAsia" w:ascii="宋体" w:hAnsi="宋体" w:cs="宋体"/>
          <w:bCs/>
          <w:sz w:val="24"/>
          <w:szCs w:val="24"/>
          <w:lang w:eastAsia="zh-CN"/>
        </w:rPr>
        <w:t>三是加强课程建设的力度，</w:t>
      </w:r>
      <w:r>
        <w:rPr>
          <w:rFonts w:hint="eastAsia" w:ascii="宋体" w:hAnsi="宋体" w:cs="宋体"/>
          <w:bCs/>
          <w:sz w:val="24"/>
          <w:szCs w:val="24"/>
        </w:rPr>
        <w:t>加大课程资源尤其是精品在线开放课程</w:t>
      </w:r>
      <w:r>
        <w:rPr>
          <w:rFonts w:hint="eastAsia" w:ascii="宋体" w:hAnsi="宋体" w:cs="宋体"/>
          <w:bCs/>
          <w:sz w:val="24"/>
          <w:szCs w:val="24"/>
          <w:lang w:eastAsia="zh-CN"/>
        </w:rPr>
        <w:t>、“课程思政”示范课程</w:t>
      </w:r>
      <w:r>
        <w:rPr>
          <w:rFonts w:hint="eastAsia" w:ascii="宋体" w:hAnsi="宋体" w:cs="宋体"/>
          <w:bCs/>
          <w:sz w:val="24"/>
          <w:szCs w:val="24"/>
        </w:rPr>
        <w:t>和应用型课程资源的开发建设力度，细化课程质量标准，更新教学内容，</w:t>
      </w:r>
      <w:r>
        <w:rPr>
          <w:rFonts w:hint="eastAsia" w:ascii="宋体" w:hAnsi="宋体" w:cs="宋体"/>
          <w:bCs/>
          <w:sz w:val="24"/>
          <w:szCs w:val="24"/>
          <w:lang w:eastAsia="zh-CN"/>
        </w:rPr>
        <w:t>出台奖励办法，</w:t>
      </w:r>
      <w:r>
        <w:rPr>
          <w:rFonts w:hint="eastAsia" w:ascii="宋体" w:hAnsi="宋体" w:cs="宋体"/>
          <w:bCs/>
          <w:sz w:val="24"/>
          <w:szCs w:val="24"/>
        </w:rPr>
        <w:t>构建能够满足</w:t>
      </w:r>
      <w:r>
        <w:rPr>
          <w:rFonts w:hint="eastAsia" w:ascii="宋体" w:hAnsi="宋体" w:cs="宋体"/>
          <w:bCs/>
          <w:sz w:val="24"/>
          <w:szCs w:val="24"/>
          <w:lang w:eastAsia="zh-CN"/>
        </w:rPr>
        <w:t>德智体美劳全面发展的</w:t>
      </w:r>
      <w:r>
        <w:rPr>
          <w:rFonts w:hint="eastAsia" w:ascii="宋体" w:hAnsi="宋体" w:cs="宋体"/>
          <w:bCs/>
          <w:sz w:val="24"/>
          <w:szCs w:val="24"/>
        </w:rPr>
        <w:t>应用型人才培养需求的课程体系</w:t>
      </w:r>
      <w:r>
        <w:rPr>
          <w:rFonts w:hint="eastAsia" w:ascii="宋体" w:hAnsi="宋体" w:cs="宋体"/>
          <w:bCs/>
          <w:sz w:val="24"/>
          <w:szCs w:val="24"/>
          <w:lang w:eastAsia="zh-CN"/>
        </w:rPr>
        <w:t>。四是</w:t>
      </w:r>
      <w:r>
        <w:rPr>
          <w:rFonts w:hint="eastAsia" w:ascii="宋体" w:hAnsi="宋体" w:cs="宋体"/>
          <w:bCs/>
          <w:sz w:val="24"/>
          <w:szCs w:val="24"/>
        </w:rPr>
        <w:t>充分利用校园网络平台，以精品资源共享课程库、案例库建设为重点，加快推进信息技术与教学改革的融合</w:t>
      </w:r>
      <w:r>
        <w:rPr>
          <w:rFonts w:hint="eastAsia" w:ascii="宋体" w:hAnsi="宋体" w:cs="宋体"/>
          <w:bCs/>
          <w:sz w:val="24"/>
          <w:szCs w:val="24"/>
          <w:lang w:eastAsia="zh-CN"/>
        </w:rPr>
        <w:t>。</w:t>
      </w:r>
      <w:r>
        <w:rPr>
          <w:rFonts w:hint="eastAsia" w:ascii="宋体" w:hAnsi="宋体" w:cs="宋体"/>
          <w:bCs/>
          <w:sz w:val="24"/>
          <w:szCs w:val="24"/>
        </w:rPr>
        <w:t>加强移动教学竞赛的组织和教学改革工作量认定工作，引导教师积极开展教学探索与研究，提高学生学习的质量和效率，提升课堂教学质量；进一步加强实践教学环节和第二课堂建设，提升实践育人效果。</w:t>
      </w:r>
      <w:r>
        <w:rPr>
          <w:rFonts w:hint="eastAsia" w:ascii="宋体" w:hAnsi="宋体" w:cs="宋体"/>
          <w:bCs/>
          <w:sz w:val="24"/>
          <w:vertAlign w:val="baseline"/>
          <w:lang w:eastAsia="zh-CN"/>
        </w:rPr>
        <w:t>五是充分认识学校自编教材的价值，加强对自编教材的组织和支持力度，组织精兵强将，面向全面发展的人才和应用型人才培养，开发一批针对性、适应性强的高质量的自编教材、校本教材。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宋体" w:hAnsi="宋体" w:cs="宋体"/>
          <w:bCs/>
          <w:sz w:val="24"/>
          <w:vertAlign w:val="baseline"/>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jc w:val="left"/>
        <w:textAlignment w:val="auto"/>
        <w:rPr>
          <w:rFonts w:asciiTheme="minorEastAsia" w:hAnsiTheme="minorEastAsia" w:cstheme="minorEastAsia"/>
          <w:b/>
          <w:bCs/>
          <w:color w:val="000000" w:themeColor="text1"/>
          <w:sz w:val="28"/>
          <w:szCs w:val="28"/>
        </w:rPr>
      </w:pPr>
      <w:r>
        <w:rPr>
          <w:rFonts w:hint="eastAsia" w:asciiTheme="minorEastAsia" w:hAnsiTheme="minorEastAsia" w:cstheme="minorEastAsia"/>
          <w:b/>
          <w:bCs/>
          <w:color w:val="000000" w:themeColor="text1"/>
          <w:sz w:val="28"/>
          <w:szCs w:val="28"/>
        </w:rPr>
        <w:t>2.质量文化建设有待加强。</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Theme="minorEastAsia" w:hAnsiTheme="minorEastAsia" w:cstheme="minorEastAsia"/>
          <w:b/>
          <w:bCs/>
          <w:sz w:val="24"/>
        </w:rPr>
      </w:pPr>
      <w:r>
        <w:rPr>
          <w:rFonts w:hint="eastAsia" w:ascii="黑体" w:hAnsi="宋体" w:eastAsia="黑体" w:cs="黑体"/>
          <w:b/>
          <w:bCs/>
          <w:sz w:val="24"/>
        </w:rPr>
        <w:t xml:space="preserve">   </w:t>
      </w:r>
      <w:r>
        <w:rPr>
          <w:rFonts w:hint="eastAsia" w:asciiTheme="minorEastAsia" w:hAnsiTheme="minorEastAsia" w:cstheme="minorEastAsia"/>
          <w:b/>
          <w:bCs/>
          <w:sz w:val="24"/>
        </w:rPr>
        <w:t>（1）突出问题</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asciiTheme="minorEastAsia" w:hAnsiTheme="minorEastAsia" w:cstheme="minorEastAsia"/>
          <w:sz w:val="24"/>
        </w:rPr>
      </w:pPr>
      <w:r>
        <w:rPr>
          <w:rFonts w:hint="eastAsia" w:asciiTheme="minorEastAsia" w:hAnsiTheme="minorEastAsia" w:cstheme="minorEastAsia"/>
          <w:sz w:val="24"/>
        </w:rPr>
        <w:t>前面提到，经过几年的努力，我校努力构建并已初步形成具有自身特色的“三全三化六系统”闭环式教学质量保证体系，并初显成效。同时，我们认为，质量建设是个长期的系统的工程，需要不断推进，没有最好，只有更好。从目前来看，“质量”意识还没有完全成为每个老师的自觉意识和信念，教学常规、教学效果的保障，主要还是靠制度规定下的各种检查督促和评价、年度考核。有的学院对新进教师、外聘教师的教学常规教育与指导不到位，新教师违反了教学纪律规定却不自知。有的老师听课主要是为了完成任务，没有保证听课的质量。因此，我校需要构建质量文化，使质量立校成为大家的共识和自觉行动。加强质量文化建设将是未来几年我校质量管理工作的重点内容。</w:t>
      </w:r>
    </w:p>
    <w:p>
      <w:pPr>
        <w:adjustRightInd w:val="0"/>
        <w:snapToGrid w:val="0"/>
        <w:ind w:firstLine="482" w:firstLineChars="200"/>
        <w:rPr>
          <w:rFonts w:asciiTheme="minorEastAsia" w:hAnsiTheme="minorEastAsia" w:cstheme="minorEastAsia"/>
          <w:b/>
          <w:sz w:val="24"/>
        </w:rPr>
      </w:pPr>
      <w:r>
        <w:rPr>
          <w:rFonts w:hint="eastAsia" w:asciiTheme="minorEastAsia" w:hAnsiTheme="minorEastAsia" w:cstheme="minorEastAsia"/>
          <w:b/>
          <w:sz w:val="24"/>
        </w:rPr>
        <w:t>（2）改进计划</w:t>
      </w:r>
    </w:p>
    <w:p>
      <w:pPr>
        <w:adjustRightInd w:val="0"/>
        <w:snapToGrid w:val="0"/>
        <w:ind w:firstLine="480" w:firstLineChars="200"/>
        <w:rPr>
          <w:rFonts w:asciiTheme="minorEastAsia" w:hAnsiTheme="minorEastAsia" w:cstheme="minorEastAsia"/>
          <w:sz w:val="24"/>
          <w:shd w:val="clear" w:color="auto" w:fill="FFFFFF"/>
        </w:rPr>
      </w:pPr>
      <w:bookmarkStart w:id="0" w:name="文号"/>
      <w:r>
        <w:rPr>
          <w:rFonts w:hint="eastAsia" w:asciiTheme="minorEastAsia" w:hAnsiTheme="minorEastAsia" w:cstheme="minorEastAsia"/>
          <w:sz w:val="24"/>
        </w:rPr>
        <w:t>2019年8月，我校出台了《</w:t>
      </w:r>
      <w:r>
        <w:rPr>
          <w:rFonts w:hint="eastAsia" w:asciiTheme="minorEastAsia" w:hAnsiTheme="minorEastAsia" w:cstheme="minorEastAsia"/>
          <w:bCs/>
          <w:sz w:val="24"/>
        </w:rPr>
        <w:t>新余学院教学质量三年提升计划（2019-2022年）</w:t>
      </w:r>
      <w:r>
        <w:rPr>
          <w:rFonts w:hint="eastAsia" w:asciiTheme="minorEastAsia" w:hAnsiTheme="minorEastAsia" w:cstheme="minorEastAsia"/>
          <w:sz w:val="24"/>
        </w:rPr>
        <w:t>》（余学院党字〔2019〕28号）</w:t>
      </w:r>
      <w:bookmarkEnd w:id="0"/>
      <w:r>
        <w:rPr>
          <w:rFonts w:hint="eastAsia" w:asciiTheme="minorEastAsia" w:hAnsiTheme="minorEastAsia" w:cstheme="minorEastAsia"/>
          <w:sz w:val="24"/>
        </w:rPr>
        <w:t>，提出：建立健全评价机制、督导机制、状态数据监控机制、反馈与整改机制，着力加强质量文化建设。</w:t>
      </w:r>
      <w:r>
        <w:rPr>
          <w:rFonts w:hint="eastAsia" w:asciiTheme="minorEastAsia" w:hAnsiTheme="minorEastAsia" w:cstheme="minorEastAsia"/>
          <w:sz w:val="24"/>
          <w:shd w:val="clear" w:color="auto" w:fill="FFFFFF"/>
        </w:rPr>
        <w:t>教育部</w:t>
      </w:r>
      <w:r>
        <w:rPr>
          <w:rFonts w:hint="eastAsia" w:asciiTheme="minorEastAsia" w:hAnsiTheme="minorEastAsia" w:cstheme="minorEastAsia"/>
          <w:sz w:val="24"/>
        </w:rPr>
        <w:t>2019年10月发布的</w:t>
      </w:r>
      <w:r>
        <w:rPr>
          <w:rFonts w:hint="eastAsia" w:asciiTheme="minorEastAsia" w:hAnsiTheme="minorEastAsia" w:cstheme="minorEastAsia"/>
          <w:sz w:val="24"/>
          <w:shd w:val="clear" w:color="auto" w:fill="FFFFFF"/>
        </w:rPr>
        <w:t>《关于深化本科教育教学改革全面提高人才培养质量的意见》（教高〔2019〕6号）提出：高校要构建自觉、自省、自律、自查、自纠的大学质量文化，把其作为推动大学不断前行、不断超越的内生动力，将质量意识、质量标准、质量评价、质量管理等落实到教育教学各环节，内化为师生的共同价值追求和自觉行动。</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一方面，我们将继续做好质量的日常管理，继续推进“三全三化六系统”闭环式教育质量保障体系的持续深入的实施和不断完善，持之以恒，久久为功。进一步完善课堂教学质量评价、教学检查、听课评课、教学督导、学生评教、学生信息员、师生信访和基层常态监控等多项监控制度，多途径督察教学质量，切实提高课堂教学质量。</w:t>
      </w:r>
      <w:r>
        <w:rPr>
          <w:rFonts w:hint="eastAsia" w:asciiTheme="minorEastAsia" w:hAnsiTheme="minorEastAsia" w:cstheme="minorEastAsia"/>
          <w:sz w:val="24"/>
          <w:lang w:eastAsia="zh-CN"/>
        </w:rPr>
        <w:t>继续鼓励和要求教师</w:t>
      </w:r>
      <w:r>
        <w:rPr>
          <w:rFonts w:hint="eastAsia" w:asciiTheme="minorEastAsia" w:hAnsiTheme="minorEastAsia" w:cstheme="minorEastAsia"/>
          <w:sz w:val="24"/>
        </w:rPr>
        <w:t>运用“麦可思教学质量管理平台”，开展课堂教学效果即时评价工作；</w:t>
      </w:r>
      <w:r>
        <w:rPr>
          <w:rFonts w:hint="eastAsia" w:asciiTheme="minorEastAsia" w:hAnsiTheme="minorEastAsia" w:cstheme="minorEastAsia"/>
          <w:sz w:val="24"/>
          <w:lang w:eastAsia="zh-CN"/>
        </w:rPr>
        <w:t>继续</w:t>
      </w:r>
      <w:r>
        <w:rPr>
          <w:rFonts w:hint="eastAsia" w:asciiTheme="minorEastAsia" w:hAnsiTheme="minorEastAsia" w:cstheme="minorEastAsia"/>
          <w:sz w:val="24"/>
        </w:rPr>
        <w:t>开展</w:t>
      </w:r>
      <w:r>
        <w:rPr>
          <w:rFonts w:hint="eastAsia" w:asciiTheme="minorEastAsia" w:hAnsiTheme="minorEastAsia" w:cstheme="minorEastAsia"/>
          <w:sz w:val="24"/>
          <w:lang w:eastAsia="zh-CN"/>
        </w:rPr>
        <w:t>好</w:t>
      </w:r>
      <w:r>
        <w:rPr>
          <w:rFonts w:hint="eastAsia" w:asciiTheme="minorEastAsia" w:hAnsiTheme="minorEastAsia" w:cstheme="minorEastAsia"/>
          <w:sz w:val="24"/>
        </w:rPr>
        <w:t>校内本科专业建设专项评估和课程建设评估。建立和完善学生学习质量的评估评价系统，将学生学习发展质量评价作为专业建设评价、课程建设评价的重要内容。要把强化对课程思政的督导评估，作为完善质量保证体系的重要任务来抓</w:t>
      </w:r>
      <w:r>
        <w:rPr>
          <w:rFonts w:hint="eastAsia" w:asciiTheme="minorEastAsia" w:hAnsiTheme="minorEastAsia" w:cstheme="minorEastAsia"/>
          <w:sz w:val="24"/>
          <w:lang w:eastAsia="zh-CN"/>
        </w:rPr>
        <w:t>，</w:t>
      </w:r>
      <w:r>
        <w:rPr>
          <w:rFonts w:hint="eastAsia" w:asciiTheme="minorEastAsia" w:hAnsiTheme="minorEastAsia" w:cstheme="minorEastAsia"/>
          <w:sz w:val="24"/>
        </w:rPr>
        <w:t>定期和不定期开展对价值引领、意识形态把关情况的专项检查督查，重新审视已有的制度，适时修订有关评价制度，加重价值引领、课程思政的元素，通过教学评价制度引导教师和教育工作者以立德树人为己任，努力培养德智体美劳全面发展的社会主义建设者和接班人。</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另一方面，要加强对质量文化建设的研究和实践探索，营造深厚的质量文化氛围，使“三全三化六系统”闭环式教育质量保障体系，从“制度”、“机制”的层面，真正进入到“文化”、“信念”的层次。</w:t>
      </w:r>
    </w:p>
    <w:p>
      <w:pPr>
        <w:adjustRightInd w:val="0"/>
        <w:snapToGrid w:val="0"/>
        <w:jc w:val="left"/>
        <w:rPr>
          <w:rFonts w:hint="eastAsia" w:asciiTheme="minorEastAsia" w:hAnsiTheme="minorEastAsia" w:cstheme="minorEastAsia"/>
          <w:sz w:val="24"/>
        </w:rPr>
      </w:pPr>
      <w:r>
        <w:rPr>
          <w:rFonts w:hint="eastAsia" w:asciiTheme="minorEastAsia" w:hAnsiTheme="minorEastAsia" w:cstheme="minorEastAsia"/>
          <w:sz w:val="24"/>
        </w:rPr>
        <w:t xml:space="preserve"> </w:t>
      </w:r>
    </w:p>
    <w:p>
      <w:pPr>
        <w:adjustRightInd w:val="0"/>
        <w:snapToGrid w:val="0"/>
        <w:jc w:val="left"/>
        <w:rPr>
          <w:rFonts w:hint="eastAsia" w:asciiTheme="minorEastAsia" w:hAnsiTheme="minorEastAsia" w:cstheme="minorEastAsia"/>
          <w:sz w:val="24"/>
        </w:rPr>
      </w:pPr>
    </w:p>
    <w:p>
      <w:pPr>
        <w:adjustRightInd w:val="0"/>
        <w:snapToGrid w:val="0"/>
        <w:jc w:val="left"/>
        <w:rPr>
          <w:rFonts w:hint="eastAsia" w:asciiTheme="minorEastAsia" w:hAnsiTheme="minorEastAsia" w:cstheme="minorEastAsia"/>
          <w:sz w:val="24"/>
        </w:rPr>
      </w:pPr>
    </w:p>
    <w:p>
      <w:pPr>
        <w:adjustRightInd w:val="0"/>
        <w:snapToGrid w:val="0"/>
        <w:jc w:val="left"/>
        <w:rPr>
          <w:rFonts w:hint="eastAsia" w:asciiTheme="minorEastAsia" w:hAnsiTheme="minorEastAsia" w:cstheme="minorEastAsia"/>
          <w:sz w:val="24"/>
        </w:rPr>
      </w:pPr>
    </w:p>
    <w:p>
      <w:pPr>
        <w:adjustRightInd w:val="0"/>
        <w:snapToGrid w:val="0"/>
        <w:jc w:val="left"/>
        <w:rPr>
          <w:rFonts w:hint="eastAsia" w:asciiTheme="minorEastAsia" w:hAnsiTheme="minorEastAsia" w:cstheme="minorEastAsia"/>
          <w:sz w:val="24"/>
        </w:rPr>
      </w:pPr>
    </w:p>
    <w:p>
      <w:pPr>
        <w:pStyle w:val="2"/>
        <w:widowControl/>
        <w:adjustRightInd w:val="0"/>
        <w:snapToGrid w:val="0"/>
        <w:spacing w:before="0" w:after="0" w:line="240" w:lineRule="auto"/>
        <w:jc w:val="left"/>
        <w:rPr>
          <w:rFonts w:ascii="黑体" w:hAnsi="宋体" w:eastAsia="黑体" w:cs="黑体"/>
          <w:sz w:val="30"/>
          <w:szCs w:val="30"/>
        </w:rPr>
      </w:pPr>
      <w:r>
        <w:rPr>
          <w:rFonts w:hint="eastAsia" w:ascii="黑体" w:hAnsi="宋体" w:eastAsia="黑体" w:cs="黑体"/>
          <w:sz w:val="30"/>
          <w:szCs w:val="30"/>
        </w:rPr>
        <w:t>附录</w:t>
      </w:r>
    </w:p>
    <w:p>
      <w:pPr>
        <w:rPr>
          <w:rFonts w:ascii="黑体" w:hAnsi="宋体" w:eastAsia="黑体" w:cs="黑体"/>
          <w:sz w:val="30"/>
          <w:szCs w:val="30"/>
        </w:rPr>
      </w:pPr>
    </w:p>
    <w:p>
      <w:pPr>
        <w:pStyle w:val="3"/>
        <w:widowControl/>
        <w:adjustRightInd w:val="0"/>
        <w:snapToGrid w:val="0"/>
        <w:spacing w:before="0" w:after="0" w:line="240" w:lineRule="auto"/>
        <w:jc w:val="center"/>
        <w:rPr>
          <w:rFonts w:ascii="黑体" w:hAnsi="宋体" w:eastAsia="黑体" w:cs="黑体"/>
          <w:sz w:val="28"/>
          <w:szCs w:val="28"/>
        </w:rPr>
      </w:pPr>
      <w:r>
        <w:rPr>
          <w:rFonts w:hint="eastAsia" w:ascii="黑体" w:hAnsi="宋体" w:eastAsia="黑体" w:cs="黑体"/>
          <w:sz w:val="28"/>
          <w:szCs w:val="28"/>
        </w:rPr>
        <w:t>本科教学质量报告支撑数据</w:t>
      </w:r>
    </w:p>
    <w:p>
      <w:pPr>
        <w:adjustRightInd w:val="0"/>
        <w:snapToGrid w:val="0"/>
      </w:pPr>
    </w:p>
    <w:p>
      <w:pPr>
        <w:adjustRightInd w:val="0"/>
        <w:snapToGrid w:val="0"/>
      </w:pPr>
    </w:p>
    <w:p>
      <w:pPr>
        <w:adjustRightInd w:val="0"/>
        <w:snapToGrid w:val="0"/>
        <w:jc w:val="left"/>
        <w:rPr>
          <w:b/>
          <w:bCs/>
        </w:rPr>
      </w:pPr>
      <w:r>
        <w:rPr>
          <w:rFonts w:hint="eastAsia" w:ascii="宋体" w:hAnsi="宋体" w:eastAsia="宋体" w:cs="宋体"/>
          <w:b/>
          <w:bCs/>
          <w:sz w:val="24"/>
        </w:rPr>
        <w:t>1. 本科生占全日制在校生总数的比例99.59%。</w:t>
      </w:r>
    </w:p>
    <w:p>
      <w:pPr>
        <w:adjustRightInd w:val="0"/>
        <w:snapToGrid w:val="0"/>
        <w:jc w:val="left"/>
        <w:rPr>
          <w:b/>
          <w:bCs/>
        </w:rPr>
      </w:pPr>
      <w:r>
        <w:rPr>
          <w:rFonts w:hint="eastAsia" w:ascii="宋体" w:hAnsi="宋体" w:eastAsia="宋体" w:cs="宋体"/>
          <w:b/>
          <w:bCs/>
          <w:sz w:val="24"/>
        </w:rPr>
        <w:t>2. 教师数量及结构</w:t>
      </w:r>
    </w:p>
    <w:p>
      <w:pPr>
        <w:adjustRightInd w:val="0"/>
        <w:snapToGrid w:val="0"/>
        <w:jc w:val="left"/>
      </w:pPr>
      <w:r>
        <w:rPr>
          <w:rFonts w:hint="eastAsia" w:ascii="宋体" w:hAnsi="宋体" w:eastAsia="宋体" w:cs="宋体"/>
          <w:sz w:val="24"/>
        </w:rPr>
        <w:t>（1）全校整体情况</w:t>
      </w:r>
    </w:p>
    <w:p>
      <w:pPr>
        <w:adjustRightInd w:val="0"/>
        <w:snapToGrid w:val="0"/>
        <w:jc w:val="center"/>
        <w:rPr>
          <w:sz w:val="24"/>
        </w:rPr>
      </w:pPr>
      <w:r>
        <w:rPr>
          <w:rFonts w:hint="eastAsia" w:ascii="宋体" w:hAnsi="宋体" w:eastAsia="宋体" w:cs="宋体"/>
          <w:sz w:val="24"/>
        </w:rPr>
        <w:t>附表1 全校教师数量及结构统计表</w:t>
      </w:r>
    </w:p>
    <w:tbl>
      <w:tblPr>
        <w:tblStyle w:val="11"/>
        <w:tblW w:w="8740" w:type="dxa"/>
        <w:jc w:val="center"/>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91"/>
        <w:gridCol w:w="1419"/>
        <w:gridCol w:w="684"/>
        <w:gridCol w:w="1249"/>
        <w:gridCol w:w="693"/>
        <w:gridCol w:w="32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29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项目</w:t>
            </w:r>
          </w:p>
        </w:tc>
        <w:tc>
          <w:tcPr>
            <w:tcW w:w="19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专任教师</w:t>
            </w:r>
          </w:p>
        </w:tc>
        <w:tc>
          <w:tcPr>
            <w:tcW w:w="38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外聘教师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29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数量</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比例（%）</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数量</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29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总计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471</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50</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职称结构</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正高级</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49</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其中教授</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46</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9.77</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副高级</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122</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25.9</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其中副教授</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117</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24.84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中级</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226</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47.98</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其中讲师</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219</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46.5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初级</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7.43</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其中助教</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34</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7.22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未评级</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8.28</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最高学位结构</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博士</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38</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8.07</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硕士</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327</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69.43</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学士</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16.99</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无学位</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5.52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年龄结构</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35岁及以下</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133</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28.24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36-45岁</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205</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43.52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46-55岁</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114</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56岁及以上</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4.03</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32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r>
    </w:tbl>
    <w:p>
      <w:pPr>
        <w:adjustRightInd w:val="0"/>
        <w:snapToGrid w:val="0"/>
        <w:jc w:val="left"/>
        <w:rPr>
          <w:sz w:val="24"/>
        </w:rPr>
      </w:pPr>
    </w:p>
    <w:p>
      <w:pPr>
        <w:adjustRightInd w:val="0"/>
        <w:snapToGrid w:val="0"/>
        <w:jc w:val="left"/>
      </w:pPr>
      <w:r>
        <w:rPr>
          <w:rFonts w:hint="eastAsia" w:ascii="宋体" w:hAnsi="宋体" w:eastAsia="宋体" w:cs="宋体"/>
          <w:sz w:val="24"/>
        </w:rPr>
        <w:t>（2）分专业情况</w:t>
      </w:r>
    </w:p>
    <w:p>
      <w:pPr>
        <w:adjustRightInd w:val="0"/>
        <w:snapToGrid w:val="0"/>
        <w:jc w:val="center"/>
        <w:rPr>
          <w:sz w:val="24"/>
        </w:rPr>
      </w:pPr>
      <w:r>
        <w:rPr>
          <w:rFonts w:hint="eastAsia" w:ascii="宋体" w:hAnsi="宋体" w:eastAsia="宋体" w:cs="宋体"/>
          <w:sz w:val="24"/>
        </w:rPr>
        <w:t>附表2 分专业专任教师数量情况</w:t>
      </w:r>
    </w:p>
    <w:tbl>
      <w:tblPr>
        <w:tblStyle w:val="11"/>
        <w:tblW w:w="9010" w:type="dxa"/>
        <w:jc w:val="center"/>
        <w:tblInd w:w="3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2143"/>
        <w:gridCol w:w="1034"/>
        <w:gridCol w:w="1125"/>
        <w:gridCol w:w="1222"/>
        <w:gridCol w:w="958"/>
        <w:gridCol w:w="1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专业代码</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专业名称</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专任教师数量</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生师比</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近五年新进教师</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双师型教师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具有行业企业背景教师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020102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经济统计学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040106</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学前教育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社会体育指导与管理</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32.889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20.182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16.909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050306T</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网络与新媒体</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21.438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信息与计算科学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机械设计制造及其自动化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14.176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44.375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28.818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32.727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39.364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31.889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080803T</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机器人工程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物联网工程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34.2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080910T</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数据科学与大数据技术</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33.286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26.222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19.706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24.571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40.778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120410T</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健康服务与管理</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27.636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14.35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15.333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21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13.143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r>
    </w:tbl>
    <w:p>
      <w:pPr>
        <w:adjustRightInd w:val="0"/>
        <w:snapToGrid w:val="0"/>
        <w:jc w:val="left"/>
        <w:rPr>
          <w:sz w:val="24"/>
        </w:rPr>
      </w:pPr>
    </w:p>
    <w:p>
      <w:pPr>
        <w:adjustRightInd w:val="0"/>
        <w:snapToGrid w:val="0"/>
        <w:jc w:val="center"/>
        <w:rPr>
          <w:rFonts w:ascii="宋体" w:hAnsi="宋体" w:eastAsia="宋体" w:cs="宋体"/>
          <w:sz w:val="24"/>
        </w:rPr>
      </w:pPr>
    </w:p>
    <w:p>
      <w:pPr>
        <w:adjustRightInd w:val="0"/>
        <w:snapToGrid w:val="0"/>
        <w:jc w:val="center"/>
        <w:rPr>
          <w:sz w:val="24"/>
        </w:rPr>
      </w:pPr>
      <w:r>
        <w:rPr>
          <w:rFonts w:hint="eastAsia" w:ascii="宋体" w:hAnsi="宋体" w:eastAsia="宋体" w:cs="宋体"/>
          <w:sz w:val="24"/>
        </w:rPr>
        <w:t>附表3  分专业专任教师职称、学历结构</w:t>
      </w:r>
    </w:p>
    <w:tbl>
      <w:tblPr>
        <w:tblStyle w:val="11"/>
        <w:tblW w:w="9568" w:type="dxa"/>
        <w:jc w:val="center"/>
        <w:tblInd w:w="4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0"/>
        <w:gridCol w:w="1865"/>
        <w:gridCol w:w="973"/>
        <w:gridCol w:w="779"/>
        <w:gridCol w:w="1100"/>
        <w:gridCol w:w="743"/>
        <w:gridCol w:w="889"/>
        <w:gridCol w:w="675"/>
        <w:gridCol w:w="663"/>
        <w:gridCol w:w="9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专业</w:t>
            </w:r>
          </w:p>
          <w:p>
            <w:pPr>
              <w:adjustRightInd w:val="0"/>
              <w:snapToGrid w:val="0"/>
              <w:jc w:val="center"/>
              <w:rPr>
                <w:rFonts w:ascii="Calibri" w:hAnsi="Calibri" w:cs="Calibri"/>
                <w:sz w:val="24"/>
              </w:rPr>
            </w:pPr>
            <w:r>
              <w:rPr>
                <w:rFonts w:hint="eastAsia" w:ascii="宋体" w:hAnsi="宋体" w:eastAsia="宋体" w:cs="宋体"/>
                <w:sz w:val="24"/>
              </w:rPr>
              <w:t>代码</w:t>
            </w:r>
          </w:p>
        </w:tc>
        <w:tc>
          <w:tcPr>
            <w:tcW w:w="18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专业名称</w:t>
            </w:r>
          </w:p>
        </w:tc>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专任教师总数</w:t>
            </w:r>
          </w:p>
        </w:tc>
        <w:tc>
          <w:tcPr>
            <w:tcW w:w="35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职称结构</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学历结构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教授</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副教授</w:t>
            </w:r>
          </w:p>
        </w:tc>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中级及以下</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博士</w:t>
            </w:r>
          </w:p>
        </w:tc>
        <w:tc>
          <w:tcPr>
            <w:tcW w:w="6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硕士</w:t>
            </w:r>
          </w:p>
        </w:tc>
        <w:tc>
          <w:tcPr>
            <w:tcW w:w="9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学士及以下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数量</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授课教授比例</w:t>
            </w: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6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020102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经济统计学</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040106</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学前教育</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社会体育指导与管理</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050306T</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网络与新媒体</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信息与计算科学</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机械设计制造及其自动化</w:t>
            </w:r>
          </w:p>
          <w:p>
            <w:pPr>
              <w:adjustRightInd w:val="0"/>
              <w:snapToGrid w:val="0"/>
              <w:jc w:val="center"/>
              <w:rPr>
                <w:rFonts w:ascii="宋体" w:hAnsi="宋体" w:eastAsia="宋体" w:cs="宋体"/>
                <w:sz w:val="24"/>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0.667</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0.75</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080803T</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机器人工程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物联网工程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080910T</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数据科学与大数据技术</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120410T</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健康服务与管理</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186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r>
    </w:tbl>
    <w:p>
      <w:pPr>
        <w:adjustRightInd w:val="0"/>
        <w:snapToGrid w:val="0"/>
        <w:jc w:val="left"/>
        <w:rPr>
          <w:sz w:val="24"/>
        </w:rPr>
      </w:pPr>
    </w:p>
    <w:p>
      <w:pPr>
        <w:adjustRightInd w:val="0"/>
        <w:snapToGrid w:val="0"/>
        <w:jc w:val="left"/>
        <w:rPr>
          <w:b/>
          <w:bCs/>
          <w:sz w:val="24"/>
        </w:rPr>
      </w:pPr>
      <w:r>
        <w:rPr>
          <w:rFonts w:hint="eastAsia" w:ascii="宋体" w:hAnsi="宋体" w:eastAsia="宋体" w:cs="宋体"/>
          <w:b/>
          <w:bCs/>
          <w:sz w:val="24"/>
        </w:rPr>
        <w:t>3. 专业设置及调整情况</w:t>
      </w:r>
    </w:p>
    <w:p>
      <w:pPr>
        <w:adjustRightInd w:val="0"/>
        <w:snapToGrid w:val="0"/>
        <w:jc w:val="center"/>
        <w:rPr>
          <w:sz w:val="24"/>
        </w:rPr>
      </w:pPr>
      <w:r>
        <w:rPr>
          <w:rFonts w:hint="eastAsia" w:ascii="宋体" w:hAnsi="宋体" w:eastAsia="宋体" w:cs="宋体"/>
          <w:sz w:val="24"/>
        </w:rPr>
        <w:t>附表4  专业设置及调整情况</w:t>
      </w:r>
    </w:p>
    <w:tbl>
      <w:tblPr>
        <w:tblStyle w:val="11"/>
        <w:tblW w:w="996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8"/>
        <w:gridCol w:w="927"/>
        <w:gridCol w:w="7357"/>
        <w:gridCol w:w="9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本科专业总数</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当年本科招生专业总数</w:t>
            </w:r>
          </w:p>
        </w:tc>
        <w:tc>
          <w:tcPr>
            <w:tcW w:w="73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新专业名单</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当年停招专业名单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38</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73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工程造价,播音与主持艺术,康复治疗学,财务管理,材料科学与工程,能源与动力工程,电子商务,商务英语,通信工程,软件工程,物联网工程,学前教育,社会体育指导与管理,信息与计算科学,数据科学与大数据技术,健康服务与管理,网络与新媒体,智能科学与技术,机器人工程,经济统计学</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材料物理,能源与动力工程</w:t>
            </w:r>
          </w:p>
        </w:tc>
      </w:tr>
    </w:tbl>
    <w:p>
      <w:pPr>
        <w:adjustRightInd w:val="0"/>
        <w:snapToGrid w:val="0"/>
        <w:jc w:val="left"/>
      </w:pPr>
    </w:p>
    <w:p>
      <w:pPr>
        <w:adjustRightInd w:val="0"/>
        <w:snapToGrid w:val="0"/>
        <w:jc w:val="left"/>
        <w:rPr>
          <w:b/>
          <w:bCs/>
        </w:rPr>
      </w:pPr>
      <w:r>
        <w:rPr>
          <w:rFonts w:hint="eastAsia" w:ascii="宋体" w:hAnsi="宋体" w:eastAsia="宋体" w:cs="宋体"/>
          <w:b/>
          <w:bCs/>
          <w:sz w:val="24"/>
        </w:rPr>
        <w:t>4. 全校整体生师比20.13：1，各专业生师比参见附表2。</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5. 生均教学科研仪器设备值（元）14457.71。</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6. 当年新增教学科研仪器设备值（万元）1102.06。</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7. 生均图书（册）162.67</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8. 电子期刊（种类）8500。</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9. 生均教学行政用房（平方米）23.26，生均实验室面积（平方米）1.69。</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10. 生均本科教学日常运行支出（元）2087.12。</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11. 本科专项教学经费（自然年度内学校立项用于本科教学改革和建设的专项经费总额）（万元）2807.5。</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12. 生均本科实验经费（自然年度内学校用于实验教学运行、维护经费生均值）（元）127.18。</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13. 生均本科实习经费（自然年度内用于本科培养方案内的实习环节支出经费生均值）（元）317.08。</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14. 全校开设课程总门数1315。</w:t>
      </w:r>
    </w:p>
    <w:p>
      <w:pPr>
        <w:adjustRightInd w:val="0"/>
        <w:snapToGrid w:val="0"/>
        <w:jc w:val="left"/>
        <w:rPr>
          <w:b/>
          <w:bCs/>
        </w:rPr>
      </w:pPr>
    </w:p>
    <w:p>
      <w:pPr>
        <w:adjustRightInd w:val="0"/>
        <w:snapToGrid w:val="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注：学年度内实际开设的本科培养计划内课程总数，跨学期讲授的同一门课程计1门。</w:t>
      </w:r>
    </w:p>
    <w:p>
      <w:pPr>
        <w:adjustRightInd w:val="0"/>
        <w:snapToGrid w:val="0"/>
        <w:jc w:val="left"/>
        <w:rPr>
          <w:b/>
          <w:bCs/>
        </w:rPr>
      </w:pPr>
    </w:p>
    <w:p>
      <w:pPr>
        <w:adjustRightInd w:val="0"/>
        <w:snapToGrid w:val="0"/>
        <w:jc w:val="left"/>
        <w:rPr>
          <w:rFonts w:ascii="宋体" w:hAnsi="宋体" w:eastAsia="宋体" w:cs="宋体"/>
          <w:b/>
          <w:bCs/>
          <w:sz w:val="24"/>
        </w:rPr>
      </w:pPr>
      <w:r>
        <w:rPr>
          <w:rFonts w:hint="eastAsia" w:ascii="宋体" w:hAnsi="宋体" w:eastAsia="宋体" w:cs="宋体"/>
          <w:b/>
          <w:bCs/>
          <w:sz w:val="24"/>
        </w:rPr>
        <w:t>15. 实践教学学分占总学分比例（按学科门类、专业）（按学科门类统计参见表</w:t>
      </w:r>
      <w:r>
        <w:rPr>
          <w:rFonts w:hint="eastAsia" w:ascii="宋体" w:hAnsi="宋体" w:eastAsia="宋体" w:cs="宋体"/>
          <w:b/>
          <w:bCs/>
          <w:sz w:val="24"/>
          <w:lang w:val="en-US" w:eastAsia="zh-CN"/>
        </w:rPr>
        <w:t>5</w:t>
      </w:r>
      <w:r>
        <w:rPr>
          <w:rFonts w:hint="eastAsia" w:ascii="宋体" w:hAnsi="宋体" w:eastAsia="宋体" w:cs="宋体"/>
          <w:b/>
          <w:bCs/>
          <w:sz w:val="24"/>
        </w:rPr>
        <w:t>）</w:t>
      </w:r>
    </w:p>
    <w:p>
      <w:pPr>
        <w:adjustRightInd w:val="0"/>
        <w:snapToGrid w:val="0"/>
        <w:jc w:val="left"/>
        <w:rPr>
          <w:rFonts w:ascii="宋体" w:hAnsi="宋体" w:eastAsia="宋体" w:cs="宋体"/>
          <w:sz w:val="24"/>
        </w:rPr>
      </w:pPr>
    </w:p>
    <w:p>
      <w:pPr>
        <w:adjustRightInd w:val="0"/>
        <w:snapToGrid w:val="0"/>
        <w:jc w:val="center"/>
        <w:rPr>
          <w:sz w:val="24"/>
        </w:rPr>
      </w:pPr>
      <w:r>
        <w:rPr>
          <w:rFonts w:hint="eastAsia" w:ascii="宋体" w:hAnsi="宋体" w:eastAsia="宋体" w:cs="宋体"/>
          <w:sz w:val="24"/>
        </w:rPr>
        <w:t xml:space="preserve">附表5 </w:t>
      </w:r>
      <w:r>
        <w:rPr>
          <w:rFonts w:hint="eastAsia" w:ascii="宋体" w:hAnsi="宋体" w:eastAsia="宋体" w:cs="宋体"/>
          <w:sz w:val="24"/>
          <w:lang w:val="en-US" w:eastAsia="zh-CN"/>
        </w:rPr>
        <w:t xml:space="preserve">  </w:t>
      </w:r>
      <w:r>
        <w:rPr>
          <w:rFonts w:hint="eastAsia" w:ascii="宋体" w:hAnsi="宋体" w:eastAsia="宋体" w:cs="宋体"/>
          <w:sz w:val="24"/>
        </w:rPr>
        <w:t>各专业实践教学学分及实践场地情况</w:t>
      </w:r>
    </w:p>
    <w:tbl>
      <w:tblPr>
        <w:tblStyle w:val="11"/>
        <w:tblW w:w="996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5"/>
        <w:gridCol w:w="1444"/>
        <w:gridCol w:w="1261"/>
        <w:gridCol w:w="894"/>
        <w:gridCol w:w="1091"/>
        <w:gridCol w:w="1162"/>
        <w:gridCol w:w="1190"/>
        <w:gridCol w:w="696"/>
        <w:gridCol w:w="11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专业代码</w:t>
            </w:r>
          </w:p>
        </w:tc>
        <w:tc>
          <w:tcPr>
            <w:tcW w:w="14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专业名称</w:t>
            </w:r>
          </w:p>
        </w:tc>
        <w:tc>
          <w:tcPr>
            <w:tcW w:w="44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实践学分</w:t>
            </w:r>
          </w:p>
        </w:tc>
        <w:tc>
          <w:tcPr>
            <w:tcW w:w="30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实践场地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集中性实践环节</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实验教学</w:t>
            </w:r>
          </w:p>
        </w:tc>
        <w:tc>
          <w:tcPr>
            <w:tcW w:w="1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课外科技活动</w:t>
            </w:r>
          </w:p>
        </w:tc>
        <w:tc>
          <w:tcPr>
            <w:tcW w:w="11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实践环节占比</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专业实验室数量</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实习实训基地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数量</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当年接收学生数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020102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经济统计学</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22.89</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040106</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学前教育</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27.71</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22.35</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社会体育指导与管理</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27.22</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30.59</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25.88</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25.88</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050306T</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网络与新媒体</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27.06</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22.47</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信息与计算科学</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26.89</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机械设计制造及其自动化</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32.22</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29.94</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39.44</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30.2</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能源与动力工程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47.13</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25.57</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27.22</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28.25</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27.78</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080803T</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机器人工程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31.46</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26.82</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23.33</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物联网工程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28.09</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080907T</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智能科学与技术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21.11</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080910T</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数据科学与大数据技术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27.04</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23.33</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27.04</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27.93</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22.5</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25.07</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27.71</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27.88</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120410T</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健康服务与管理</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28.89</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28.22</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43.53</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30.59</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23.03</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29.09</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2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全校校均</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24.67</w:t>
            </w:r>
          </w:p>
        </w:tc>
        <w:tc>
          <w:tcPr>
            <w:tcW w:w="89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6.08</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28.34</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8.68</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158.66</w:t>
            </w:r>
          </w:p>
        </w:tc>
      </w:tr>
    </w:tbl>
    <w:p>
      <w:pPr>
        <w:adjustRightInd w:val="0"/>
        <w:snapToGrid w:val="0"/>
        <w:jc w:val="left"/>
        <w:rPr>
          <w:sz w:val="24"/>
        </w:rPr>
      </w:pPr>
    </w:p>
    <w:p>
      <w:pPr>
        <w:adjustRightInd w:val="0"/>
        <w:snapToGrid w:val="0"/>
        <w:jc w:val="left"/>
        <w:rPr>
          <w:rFonts w:ascii="宋体" w:hAnsi="宋体" w:eastAsia="宋体" w:cs="宋体"/>
          <w:b/>
          <w:bCs/>
          <w:sz w:val="24"/>
        </w:rPr>
      </w:pPr>
      <w:r>
        <w:rPr>
          <w:rFonts w:hint="eastAsia" w:ascii="宋体" w:hAnsi="宋体" w:eastAsia="宋体" w:cs="宋体"/>
          <w:b/>
          <w:bCs/>
          <w:sz w:val="24"/>
        </w:rPr>
        <w:t>16．选修课学分占总学分比例（按学科门类、专业）（按学科门类统计参见表6）</w:t>
      </w:r>
    </w:p>
    <w:p>
      <w:pPr>
        <w:adjustRightInd w:val="0"/>
        <w:snapToGrid w:val="0"/>
        <w:jc w:val="center"/>
        <w:rPr>
          <w:sz w:val="24"/>
        </w:rPr>
      </w:pPr>
      <w:r>
        <w:rPr>
          <w:rFonts w:hint="eastAsia" w:ascii="宋体" w:hAnsi="宋体" w:eastAsia="宋体" w:cs="宋体"/>
          <w:sz w:val="24"/>
        </w:rPr>
        <w:t xml:space="preserve">附表6 </w:t>
      </w:r>
      <w:r>
        <w:rPr>
          <w:rFonts w:hint="eastAsia" w:ascii="宋体" w:hAnsi="宋体" w:eastAsia="宋体" w:cs="宋体"/>
          <w:sz w:val="24"/>
          <w:lang w:val="en-US" w:eastAsia="zh-CN"/>
        </w:rPr>
        <w:t xml:space="preserve">  </w:t>
      </w:r>
      <w:r>
        <w:rPr>
          <w:rFonts w:hint="eastAsia" w:ascii="宋体" w:hAnsi="宋体" w:eastAsia="宋体" w:cs="宋体"/>
          <w:sz w:val="24"/>
        </w:rPr>
        <w:t>各专业人才培养方案学时、学分情况</w:t>
      </w:r>
    </w:p>
    <w:tbl>
      <w:tblPr>
        <w:tblStyle w:val="11"/>
        <w:tblW w:w="9821" w:type="dxa"/>
        <w:jc w:val="center"/>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8"/>
        <w:gridCol w:w="1218"/>
        <w:gridCol w:w="816"/>
        <w:gridCol w:w="978"/>
        <w:gridCol w:w="978"/>
        <w:gridCol w:w="999"/>
        <w:gridCol w:w="999"/>
        <w:gridCol w:w="883"/>
        <w:gridCol w:w="942"/>
        <w:gridCol w:w="10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专业</w:t>
            </w:r>
          </w:p>
          <w:p>
            <w:pPr>
              <w:adjustRightInd w:val="0"/>
              <w:snapToGrid w:val="0"/>
              <w:jc w:val="center"/>
              <w:rPr>
                <w:rFonts w:ascii="Calibri" w:hAnsi="Calibri" w:cs="Calibri"/>
                <w:sz w:val="24"/>
              </w:rPr>
            </w:pPr>
            <w:r>
              <w:rPr>
                <w:rFonts w:hint="eastAsia" w:ascii="宋体" w:hAnsi="宋体" w:eastAsia="宋体" w:cs="宋体"/>
                <w:sz w:val="24"/>
              </w:rPr>
              <w:t>代码</w:t>
            </w:r>
          </w:p>
        </w:tc>
        <w:tc>
          <w:tcPr>
            <w:tcW w:w="1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宋体" w:hAnsi="宋体" w:eastAsia="宋体" w:cs="宋体"/>
                <w:sz w:val="24"/>
              </w:rPr>
            </w:pPr>
            <w:r>
              <w:rPr>
                <w:rFonts w:hint="eastAsia" w:ascii="宋体" w:hAnsi="宋体" w:eastAsia="宋体" w:cs="宋体"/>
                <w:sz w:val="24"/>
              </w:rPr>
              <w:t>专业</w:t>
            </w:r>
          </w:p>
          <w:p>
            <w:pPr>
              <w:adjustRightInd w:val="0"/>
              <w:snapToGrid w:val="0"/>
              <w:jc w:val="center"/>
              <w:rPr>
                <w:rFonts w:ascii="Calibri" w:hAnsi="Calibri" w:cs="Calibri"/>
                <w:sz w:val="24"/>
              </w:rPr>
            </w:pPr>
            <w:r>
              <w:rPr>
                <w:rFonts w:hint="eastAsia" w:ascii="宋体" w:hAnsi="宋体" w:eastAsia="宋体" w:cs="宋体"/>
                <w:sz w:val="24"/>
              </w:rPr>
              <w:t>名称</w:t>
            </w:r>
          </w:p>
        </w:tc>
        <w:tc>
          <w:tcPr>
            <w:tcW w:w="47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学时数</w:t>
            </w:r>
          </w:p>
        </w:tc>
        <w:tc>
          <w:tcPr>
            <w:tcW w:w="28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学分数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8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总数</w:t>
            </w:r>
          </w:p>
        </w:tc>
        <w:tc>
          <w:tcPr>
            <w:tcW w:w="19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总数</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必修课占比</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选修课占比</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理论教学占比</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实验教学占比</w:t>
            </w: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必修课占比</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选修课占比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2332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71.184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28.816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49.185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37.95</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46.364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24.545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2304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88.108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11.892</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51.215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48.785</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57.273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19.091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2224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67.626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32.374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91.367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8.633</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52.353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2000</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25.7</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49.412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21.176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2160</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74.815</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25.185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72.963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27.037</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163</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79.141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20.859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120410T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健康服务与管理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2536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76.972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23.028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67.902</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32.098</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79.722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2192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78.102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21.898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79.927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20.073</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81.818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18.182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2208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71.014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28.986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84.42</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15.58</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166</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75.904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24.096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2592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75.309</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24.691</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86.188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13.812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179.5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77.716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22.284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2384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74.832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25.168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74.413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25.587</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179</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73.464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2376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72.391</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27.609</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73.359</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26.641</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177.5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71.268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23.099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2464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77.273</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22.727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82.468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17.532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80.556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19.444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080910T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数据科学与大数据技术</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2376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73.064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26.936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71.717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28.283</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177.5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77.465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22.535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080907T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智能科学与技术</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2500</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73.76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26.24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75.76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24.24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77.222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22.778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080905</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物联网工程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2928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82.514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17.486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64.208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16.667</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178</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82.022</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17.978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2464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72.727</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27.273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74.026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25.974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76.667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2400</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78.667</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21.333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67.083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32.917</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179</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82.123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17.877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080803T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机器人工程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2484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84.219</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15.781</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76.651</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23.349</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178</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86.236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13.764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2960</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86.486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13.514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64.865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16.216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86.111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13.889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2912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84.066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15.934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64.835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15.934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177</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83.616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2408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82.018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17.982</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82.89</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17.11</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2378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79.815</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20.185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82.17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17.83</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176</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82.955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能源与动力工程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2222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74.977</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25.023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97.66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174</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81.609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18.391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2464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74.351</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25.649</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78.084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21.916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175.5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77.493</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22.507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2427</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70.416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29.584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85.62</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14.38</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177.5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78.028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21.972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2488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77.492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22.508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79.341</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20.659</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177</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80.226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19.774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2368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80.743</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19.257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82.939</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17.061</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84.167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15.833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机械设计制造及其自动化</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2496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84.295</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15.705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78.045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21.955</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86.389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信息与计算科学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2392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73.244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26.756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71.906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28.094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178.5</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77.591</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22.409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2448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82.353</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17.647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83.17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16.83</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178</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70.787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15.169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050306T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网络与新媒体</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2276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67.663</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32.337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90.158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9.842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53.529</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18.824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2320</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87.586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12.414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78.534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21.466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70.588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2288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88.112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11.888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75.175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24.825</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61.176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2224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66.187</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33.813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51.176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27.647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040203</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社会体育指导与管理</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2192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63.504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36.496</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63.412</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36.588</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169</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50.888</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29.586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2272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66.197</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33.803</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60.035</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39.965</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170</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71.765</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040106</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学前教育</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2464</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67.532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32.468</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64.407</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35.593</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166</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74.096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24.096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020102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经济统计学</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2272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81.69</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18.31</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80.194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19.806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166</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84.337</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15.663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全校校均</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2399.868</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76.616</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23.384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75.564</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22.264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174.132</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73.84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19.918</w:t>
            </w:r>
          </w:p>
        </w:tc>
      </w:tr>
    </w:tbl>
    <w:p>
      <w:pPr>
        <w:adjustRightInd w:val="0"/>
        <w:snapToGrid w:val="0"/>
        <w:jc w:val="left"/>
        <w:rPr>
          <w:sz w:val="24"/>
        </w:rPr>
      </w:pPr>
    </w:p>
    <w:p>
      <w:pPr>
        <w:adjustRightInd w:val="0"/>
        <w:snapToGrid w:val="0"/>
        <w:jc w:val="left"/>
        <w:rPr>
          <w:b/>
          <w:bCs/>
          <w:sz w:val="24"/>
        </w:rPr>
      </w:pPr>
      <w:r>
        <w:rPr>
          <w:rFonts w:hint="eastAsia" w:ascii="宋体" w:hAnsi="宋体" w:eastAsia="宋体" w:cs="宋体"/>
          <w:b/>
          <w:bCs/>
          <w:sz w:val="24"/>
        </w:rPr>
        <w:t>17. 主讲本科课程的教授占教授总数的比例（不含讲座）72.73%</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18. 教授讲授本科课程占课程总门次数的比例7.94%，各专业教授讲授本科课程占课程总门次数的比例参见附表3。</w:t>
      </w:r>
    </w:p>
    <w:p>
      <w:pPr>
        <w:adjustRightInd w:val="0"/>
        <w:snapToGrid w:val="0"/>
        <w:jc w:val="left"/>
        <w:rPr>
          <w:b/>
          <w:bCs/>
        </w:rPr>
      </w:pPr>
    </w:p>
    <w:p>
      <w:pPr>
        <w:adjustRightInd w:val="0"/>
        <w:snapToGrid w:val="0"/>
        <w:jc w:val="left"/>
        <w:rPr>
          <w:b/>
          <w:bCs/>
        </w:rPr>
      </w:pPr>
      <w:r>
        <w:rPr>
          <w:rFonts w:hint="eastAsia" w:ascii="宋体" w:hAnsi="宋体" w:eastAsia="宋体" w:cs="宋体"/>
          <w:b/>
          <w:bCs/>
          <w:sz w:val="24"/>
        </w:rPr>
        <w:t>19. 各专业实践教学及实习实训基地及其使用情况参见附表5。</w:t>
      </w:r>
    </w:p>
    <w:p>
      <w:pPr>
        <w:adjustRightInd w:val="0"/>
        <w:snapToGrid w:val="0"/>
        <w:jc w:val="left"/>
        <w:rPr>
          <w:b/>
          <w:bCs/>
        </w:rPr>
      </w:pPr>
    </w:p>
    <w:p>
      <w:pPr>
        <w:adjustRightInd w:val="0"/>
        <w:snapToGrid w:val="0"/>
        <w:jc w:val="left"/>
        <w:rPr>
          <w:rFonts w:ascii="宋体" w:hAnsi="宋体" w:eastAsia="宋体" w:cs="宋体"/>
          <w:b/>
          <w:bCs/>
          <w:sz w:val="24"/>
          <w:u w:val="single"/>
        </w:rPr>
      </w:pPr>
      <w:r>
        <w:rPr>
          <w:rFonts w:hint="eastAsia" w:ascii="宋体" w:hAnsi="宋体" w:eastAsia="宋体" w:cs="宋体"/>
          <w:b/>
          <w:bCs/>
          <w:sz w:val="24"/>
        </w:rPr>
        <w:t>20. 应届本科生毕业率99.4%，分专业本科生毕业率见附表7。</w:t>
      </w:r>
    </w:p>
    <w:p>
      <w:pPr>
        <w:adjustRightInd w:val="0"/>
        <w:snapToGrid w:val="0"/>
        <w:jc w:val="center"/>
        <w:rPr>
          <w:sz w:val="24"/>
        </w:rPr>
      </w:pPr>
      <w:r>
        <w:rPr>
          <w:rFonts w:hint="eastAsia" w:ascii="宋体" w:hAnsi="宋体" w:eastAsia="宋体" w:cs="宋体"/>
          <w:sz w:val="24"/>
        </w:rPr>
        <w:t>附表7  分专业本科生毕业率</w:t>
      </w:r>
    </w:p>
    <w:tbl>
      <w:tblPr>
        <w:tblStyle w:val="11"/>
        <w:tblW w:w="8959" w:type="dxa"/>
        <w:jc w:val="center"/>
        <w:tblInd w:w="2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0"/>
        <w:gridCol w:w="3138"/>
        <w:gridCol w:w="1511"/>
        <w:gridCol w:w="1414"/>
        <w:gridCol w:w="16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专业代码</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专业名称</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毕业班人数</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毕业人数</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毕业率（%）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45</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48</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机械设计制造及其自动化</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能源与动力工程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141</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41</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53</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42</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59</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95.74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56</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98.21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70</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95.71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44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全校整体</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1,324</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1316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99.4</w:t>
            </w:r>
          </w:p>
        </w:tc>
      </w:tr>
    </w:tbl>
    <w:p>
      <w:pPr>
        <w:adjustRightInd w:val="0"/>
        <w:snapToGrid w:val="0"/>
        <w:jc w:val="left"/>
        <w:rPr>
          <w:sz w:val="24"/>
        </w:rPr>
      </w:pPr>
    </w:p>
    <w:p>
      <w:pPr>
        <w:numPr>
          <w:ilvl w:val="0"/>
          <w:numId w:val="2"/>
        </w:numPr>
        <w:adjustRightInd w:val="0"/>
        <w:snapToGrid w:val="0"/>
        <w:jc w:val="left"/>
        <w:rPr>
          <w:rFonts w:ascii="宋体" w:hAnsi="宋体" w:eastAsia="宋体" w:cs="宋体"/>
          <w:b/>
          <w:bCs/>
          <w:sz w:val="24"/>
        </w:rPr>
      </w:pPr>
      <w:r>
        <w:rPr>
          <w:rFonts w:hint="eastAsia" w:ascii="宋体" w:hAnsi="宋体" w:eastAsia="宋体" w:cs="宋体"/>
          <w:b/>
          <w:bCs/>
          <w:sz w:val="24"/>
        </w:rPr>
        <w:t>应届本科毕业生学位授予率99.39%，分专业本科生学位授予率见附表8。</w:t>
      </w:r>
    </w:p>
    <w:p>
      <w:pPr>
        <w:adjustRightInd w:val="0"/>
        <w:snapToGrid w:val="0"/>
        <w:jc w:val="center"/>
        <w:rPr>
          <w:sz w:val="24"/>
        </w:rPr>
      </w:pPr>
      <w:r>
        <w:rPr>
          <w:rFonts w:hint="eastAsia" w:ascii="宋体" w:hAnsi="宋体" w:eastAsia="宋体" w:cs="宋体"/>
          <w:sz w:val="24"/>
        </w:rPr>
        <w:t>附表8  分专业本科生学位授予率</w:t>
      </w:r>
    </w:p>
    <w:tbl>
      <w:tblPr>
        <w:tblStyle w:val="11"/>
        <w:tblW w:w="9293" w:type="dxa"/>
        <w:jc w:val="center"/>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1"/>
        <w:gridCol w:w="2935"/>
        <w:gridCol w:w="1457"/>
        <w:gridCol w:w="1659"/>
        <w:gridCol w:w="20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专业代码</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专业名称</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毕业班人数</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获得学位人数</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学位授予率（%）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45</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45</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48</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48</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机械设计制造及其自动化</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能源与动力工程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94.59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141</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139</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98.58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41</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41</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53</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53</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42</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42</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59</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59</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37</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67</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47</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43</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91.49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56</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54</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96.43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2935"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70</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64</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91.43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4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全校整体</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1,324</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1308</w:t>
            </w:r>
          </w:p>
        </w:tc>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98.79</w:t>
            </w:r>
          </w:p>
        </w:tc>
      </w:tr>
    </w:tbl>
    <w:p>
      <w:pPr>
        <w:adjustRightInd w:val="0"/>
        <w:snapToGrid w:val="0"/>
        <w:jc w:val="left"/>
        <w:rPr>
          <w:sz w:val="24"/>
        </w:rPr>
      </w:pPr>
    </w:p>
    <w:p>
      <w:pPr>
        <w:adjustRightInd w:val="0"/>
        <w:snapToGrid w:val="0"/>
        <w:jc w:val="left"/>
        <w:rPr>
          <w:b/>
          <w:bCs/>
          <w:sz w:val="24"/>
        </w:rPr>
      </w:pPr>
      <w:r>
        <w:rPr>
          <w:rFonts w:hint="eastAsia" w:ascii="宋体" w:hAnsi="宋体" w:eastAsia="宋体" w:cs="宋体"/>
          <w:b/>
          <w:bCs/>
          <w:sz w:val="24"/>
        </w:rPr>
        <w:t>22. 应届本科毕业生初次就业率87.99%，分专业毕业生就业率见附表9。</w:t>
      </w:r>
    </w:p>
    <w:p>
      <w:pPr>
        <w:adjustRightInd w:val="0"/>
        <w:snapToGrid w:val="0"/>
        <w:jc w:val="center"/>
        <w:rPr>
          <w:sz w:val="24"/>
        </w:rPr>
      </w:pPr>
      <w:r>
        <w:rPr>
          <w:rFonts w:hint="eastAsia" w:ascii="宋体" w:hAnsi="宋体" w:eastAsia="宋体" w:cs="宋体"/>
          <w:sz w:val="24"/>
        </w:rPr>
        <w:t>附表9</w:t>
      </w:r>
      <w:r>
        <w:rPr>
          <w:rFonts w:hint="eastAsia" w:ascii="宋体" w:hAnsi="宋体" w:eastAsia="宋体" w:cs="宋体"/>
          <w:sz w:val="24"/>
          <w:lang w:val="en-US" w:eastAsia="zh-CN"/>
        </w:rPr>
        <w:t xml:space="preserve">  </w:t>
      </w:r>
      <w:r>
        <w:rPr>
          <w:rFonts w:hint="eastAsia" w:ascii="宋体" w:hAnsi="宋体" w:eastAsia="宋体" w:cs="宋体"/>
          <w:sz w:val="24"/>
        </w:rPr>
        <w:t xml:space="preserve"> 分专业毕业生就业率</w:t>
      </w:r>
    </w:p>
    <w:tbl>
      <w:tblPr>
        <w:tblStyle w:val="11"/>
        <w:tblW w:w="9370" w:type="dxa"/>
        <w:jc w:val="center"/>
        <w:tblInd w:w="1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0"/>
        <w:gridCol w:w="2323"/>
        <w:gridCol w:w="909"/>
        <w:gridCol w:w="1110"/>
        <w:gridCol w:w="1109"/>
        <w:gridCol w:w="1016"/>
        <w:gridCol w:w="950"/>
        <w:gridCol w:w="9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专业代码</w:t>
            </w:r>
          </w:p>
        </w:tc>
        <w:tc>
          <w:tcPr>
            <w:tcW w:w="23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专业名称</w:t>
            </w:r>
          </w:p>
        </w:tc>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就业率</w:t>
            </w:r>
          </w:p>
        </w:tc>
        <w:tc>
          <w:tcPr>
            <w:tcW w:w="51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23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协议就业率</w:t>
            </w: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升学率</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灵活就业率</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自主创业比例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23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境内升学</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境外深造</w:t>
            </w: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65.96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86.67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89.58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96.88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91.43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机械设计制造及其自动化</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92.31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91.67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86.67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93.94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能源与动力工程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81.82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94.87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83.33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92.86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88.68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89.66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85.71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87.18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93.22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88.89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95.74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89.19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73.13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90.91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232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77.61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3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全校整体</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87.99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p>
        </w:tc>
      </w:tr>
    </w:tbl>
    <w:p>
      <w:pPr>
        <w:adjustRightInd w:val="0"/>
        <w:snapToGrid w:val="0"/>
        <w:jc w:val="left"/>
        <w:rPr>
          <w:sz w:val="24"/>
        </w:rPr>
      </w:pPr>
    </w:p>
    <w:p>
      <w:pPr>
        <w:adjustRightInd w:val="0"/>
        <w:snapToGrid w:val="0"/>
        <w:jc w:val="left"/>
        <w:rPr>
          <w:rFonts w:ascii="宋体" w:hAnsi="宋体" w:eastAsia="宋体" w:cs="宋体"/>
          <w:b/>
          <w:bCs/>
          <w:sz w:val="24"/>
        </w:rPr>
      </w:pPr>
      <w:r>
        <w:rPr>
          <w:rFonts w:hint="eastAsia" w:ascii="宋体" w:hAnsi="宋体" w:eastAsia="宋体" w:cs="宋体"/>
          <w:b/>
          <w:bCs/>
          <w:sz w:val="24"/>
        </w:rPr>
        <w:t>23. 体质测试达标率89.73%，分专业体质测试合格率见附表10。</w:t>
      </w:r>
    </w:p>
    <w:p>
      <w:pPr>
        <w:adjustRightInd w:val="0"/>
        <w:snapToGrid w:val="0"/>
        <w:jc w:val="center"/>
        <w:rPr>
          <w:sz w:val="24"/>
        </w:rPr>
      </w:pPr>
      <w:r>
        <w:rPr>
          <w:rFonts w:hint="eastAsia" w:ascii="宋体" w:hAnsi="宋体" w:eastAsia="宋体" w:cs="宋体"/>
          <w:sz w:val="24"/>
        </w:rPr>
        <w:t xml:space="preserve">附表10 </w:t>
      </w:r>
      <w:r>
        <w:rPr>
          <w:rFonts w:hint="eastAsia" w:ascii="宋体" w:hAnsi="宋体" w:eastAsia="宋体" w:cs="宋体"/>
          <w:sz w:val="24"/>
          <w:lang w:val="en-US" w:eastAsia="zh-CN"/>
        </w:rPr>
        <w:t xml:space="preserve"> </w:t>
      </w:r>
      <w:r>
        <w:rPr>
          <w:rFonts w:hint="eastAsia" w:ascii="宋体" w:hAnsi="宋体" w:eastAsia="宋体" w:cs="宋体"/>
          <w:sz w:val="24"/>
        </w:rPr>
        <w:t xml:space="preserve"> 分专业体质测试合格率</w:t>
      </w:r>
    </w:p>
    <w:tbl>
      <w:tblPr>
        <w:tblStyle w:val="11"/>
        <w:tblW w:w="8957" w:type="dxa"/>
        <w:jc w:val="center"/>
        <w:tblInd w:w="2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3"/>
        <w:gridCol w:w="2882"/>
        <w:gridCol w:w="1853"/>
        <w:gridCol w:w="1886"/>
        <w:gridCol w:w="1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tblHeader/>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专业代码</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专业名称</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参与测试人数</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测试合格人数</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合格率（%）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020102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经济统计学</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040106</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学前教育</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182</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156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85.71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体育教育</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248</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040203</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社会体育指导与管理</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206</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050101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汉语言文学</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255</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英语</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340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87.94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050262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商务英语</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272</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050306T</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网络与新媒体</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数学与应用数学</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296</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85.47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070102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信息与计算科学</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93.02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机械设计制造及其自动化</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233</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080203</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材料成型及控制工程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308</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材料科学与工程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265</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材料物理</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57</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84.21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080414T</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新能源材料与器件</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240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能源与动力工程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96.97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080503T</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新能源科学与工程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281</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254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90.39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080601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电气工程及其自动化</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321</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94.08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电子信息工程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239</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080703</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通信工程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386</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85.23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080803T</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机器人工程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计算机科学与技术</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331</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软件工程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363</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341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93.94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080905</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物联网工程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127</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115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90.55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080907T</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智能科学与技术</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080910T</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数据科学与大数据技术</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39</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92.31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081001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土木工程</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238</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101005</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康复治疗学</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227</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101101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护理学</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333</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306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91.89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120105</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工程造价</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350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92.29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市场营销</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349</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297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120204</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财务管理</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313</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280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89.46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120410T</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健康服务与管理</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40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32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120801</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电子商务</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209</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92.34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130202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音乐学</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236</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211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89.41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130309</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播音与主持艺术</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171</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141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82.46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130502</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视觉传达设计</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190</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168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130503</w:t>
            </w:r>
          </w:p>
        </w:tc>
        <w:tc>
          <w:tcPr>
            <w:tcW w:w="288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环境设计</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199</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176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88.44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1" w:hRule="atLeast"/>
          <w:jc w:val="center"/>
        </w:trPr>
        <w:tc>
          <w:tcPr>
            <w:tcW w:w="3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全校整体</w:t>
            </w:r>
          </w:p>
        </w:tc>
        <w:tc>
          <w:tcPr>
            <w:tcW w:w="185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7,963</w:t>
            </w:r>
          </w:p>
        </w:tc>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7,145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rFonts w:ascii="Calibri" w:hAnsi="Calibri" w:cs="Calibri"/>
                <w:sz w:val="24"/>
              </w:rPr>
            </w:pPr>
            <w:r>
              <w:rPr>
                <w:rFonts w:hint="eastAsia" w:ascii="宋体" w:hAnsi="宋体" w:eastAsia="宋体" w:cs="宋体"/>
                <w:sz w:val="24"/>
              </w:rPr>
              <w:t>89.73</w:t>
            </w:r>
          </w:p>
        </w:tc>
      </w:tr>
    </w:tbl>
    <w:p>
      <w:pPr>
        <w:adjustRightInd w:val="0"/>
        <w:snapToGrid w:val="0"/>
        <w:jc w:val="left"/>
        <w:rPr>
          <w:sz w:val="24"/>
        </w:rPr>
      </w:pPr>
    </w:p>
    <w:p>
      <w:pPr>
        <w:adjustRightInd w:val="0"/>
        <w:snapToGrid w:val="0"/>
        <w:jc w:val="left"/>
        <w:rPr>
          <w:rFonts w:asciiTheme="minorEastAsia" w:hAnsiTheme="minorEastAsia" w:cstheme="minorEastAsia"/>
          <w:sz w:val="24"/>
        </w:rPr>
      </w:pPr>
      <w:r>
        <w:rPr>
          <w:rFonts w:hint="eastAsia" w:ascii="黑体" w:hAnsi="黑体" w:eastAsia="黑体" w:cs="黑体"/>
          <w:sz w:val="24"/>
        </w:rPr>
        <w:t>24. 学生学习满意度（调查方法与结果）</w:t>
      </w:r>
    </w:p>
    <w:p>
      <w:pPr>
        <w:adjustRightInd w:val="0"/>
        <w:snapToGrid w:val="0"/>
        <w:ind w:firstLine="480" w:firstLineChars="200"/>
        <w:rPr>
          <w:rFonts w:asciiTheme="minorEastAsia" w:hAnsiTheme="minorEastAsia" w:cstheme="minorEastAsia"/>
          <w:kern w:val="0"/>
          <w:sz w:val="24"/>
        </w:rPr>
      </w:pPr>
      <w:r>
        <w:rPr>
          <w:rFonts w:hint="eastAsia" w:asciiTheme="minorEastAsia" w:hAnsiTheme="minorEastAsia" w:cstheme="minorEastAsia"/>
          <w:kern w:val="0"/>
          <w:sz w:val="24"/>
        </w:rPr>
        <w:t xml:space="preserve">我校招生工作办公室于2018年10月中旬至11月上旬，通过“麦可思—新余学院教学质量管理平台”，用问卷调查的方式对2018级全体新生进行了有关学习与思想状态的调查。向全校2018级2439名普通本科新生（不含“专升本”学生和少数民族预科生）发放了问卷，回收有效答卷2430份，调研答卷合格率为99.63%。调查结果显示，新生入学近两个月后，对能够进入我校学习感到满意或非常满意的占比65.43%，不满意的占极少数，学生从自己切身感受出发，对学校的满意度较高。有55.1%的新生对就读专业感到满意，40.41%的新生认为就读专业“与理想有些差距”，仅4.49%的新生对就读专业感到“不太满意”。有11.11%的新生有转专业的意愿，说明学生选择专业的稳定性较高，绝大部分新生安心于所就读专业学习。 </w:t>
      </w:r>
    </w:p>
    <w:p>
      <w:pPr>
        <w:adjustRightInd w:val="0"/>
        <w:snapToGrid w:val="0"/>
        <w:jc w:val="left"/>
        <w:rPr>
          <w:rFonts w:asciiTheme="minorEastAsia" w:hAnsiTheme="minorEastAsia" w:cstheme="minorEastAsia"/>
          <w:sz w:val="24"/>
        </w:rPr>
      </w:pPr>
    </w:p>
    <w:p>
      <w:pPr>
        <w:adjustRightInd w:val="0"/>
        <w:snapToGrid w:val="0"/>
        <w:jc w:val="left"/>
        <w:rPr>
          <w:rFonts w:asciiTheme="minorEastAsia" w:hAnsiTheme="minorEastAsia" w:cstheme="minorEastAsia"/>
          <w:sz w:val="24"/>
        </w:rPr>
      </w:pPr>
      <w:r>
        <w:rPr>
          <w:rFonts w:hint="eastAsia" w:ascii="宋体" w:hAnsi="宋体" w:eastAsia="宋体" w:cs="宋体"/>
          <w:b/>
          <w:bCs/>
          <w:sz w:val="24"/>
        </w:rPr>
        <w:t>25. 用人单位对毕业生满意度（调查方法与结果）</w:t>
      </w:r>
      <w:r>
        <w:rPr>
          <w:rFonts w:hint="eastAsia" w:asciiTheme="minorEastAsia" w:hAnsiTheme="minorEastAsia" w:cstheme="minorEastAsia"/>
          <w:sz w:val="24"/>
        </w:rPr>
        <w:t xml:space="preserve"> </w:t>
      </w:r>
    </w:p>
    <w:p>
      <w:pPr>
        <w:adjustRightInd w:val="0"/>
        <w:snapToGrid w:val="0"/>
        <w:ind w:firstLine="480" w:firstLineChars="200"/>
        <w:rPr>
          <w:rFonts w:asciiTheme="minorEastAsia" w:hAnsiTheme="minorEastAsia" w:cstheme="minorEastAsia"/>
          <w:sz w:val="24"/>
        </w:rPr>
      </w:pPr>
      <w:r>
        <w:rPr>
          <w:rFonts w:hint="eastAsia" w:asciiTheme="minorEastAsia" w:hAnsiTheme="minorEastAsia" w:cstheme="minorEastAsia"/>
          <w:sz w:val="24"/>
        </w:rPr>
        <w:t>2018 年下半年，新余学院通过与第三方合作，组织开展了 2018 届毕业生和用人单位的相关调研，编制出《2018 届毕业生就业质量报告》。新余学院 2018 届本科毕业生 1304 人，截至 2018 年 8 月 31 日，本科生就业率 90.57%。调查显示，用人单位对学校毕业生总体满意度非常高，为 97.10%。具体来看，用人单位对毕业生各项素质与能力给予了高度评价，各项满意度均在 91.00%以上，其中满意度排名前三的指标分别</w:t>
      </w:r>
      <w:r>
        <w:rPr>
          <w:rFonts w:hint="eastAsia" w:asciiTheme="minorEastAsia" w:hAnsiTheme="minorEastAsia" w:cstheme="minorEastAsia"/>
          <w:sz w:val="24"/>
          <w:lang w:eastAsia="zh-CN"/>
        </w:rPr>
        <w:t>为</w:t>
      </w:r>
      <w:r>
        <w:rPr>
          <w:rFonts w:hint="eastAsia" w:asciiTheme="minorEastAsia" w:hAnsiTheme="minorEastAsia" w:cstheme="minorEastAsia"/>
          <w:sz w:val="24"/>
        </w:rPr>
        <w:t>“专业理论知识水平及视野宽广度”、“诚实、敬业、团队合作等职业素质水平”、“项目策划、组织、主持与执行能力”。调研数据显示，用人单位招聘毕业生时最注重的因素是“综合素质”，其次是“社会适应能力”，再次是“所学专业”。用人单位认为毕业生在求职中应加强的方面排名前三的是“临场反应”、“职业素养”、“对应聘单位的了解准备”。</w:t>
      </w:r>
    </w:p>
    <w:p>
      <w:pPr>
        <w:adjustRightInd w:val="0"/>
        <w:snapToGrid w:val="0"/>
        <w:ind w:firstLine="480" w:firstLineChars="200"/>
        <w:rPr>
          <w:rFonts w:ascii="仿宋" w:hAnsi="仿宋" w:eastAsia="仿宋" w:cs="仿宋"/>
          <w:sz w:val="28"/>
          <w:szCs w:val="28"/>
        </w:rPr>
      </w:pPr>
      <w:r>
        <w:rPr>
          <w:rFonts w:hint="eastAsia" w:asciiTheme="minorEastAsia" w:hAnsiTheme="minorEastAsia" w:cstheme="minorEastAsia"/>
          <w:sz w:val="24"/>
        </w:rPr>
        <w:t>2019年6月，我校学生就业与事务处相关同志组成调研小组，与新余市统计调查队通过微就业服务平台，将《新余学院大学生就业问题调查问卷》对部分大学生进行调研，共发放应届毕业生调查问卷450份，收回有效问卷421份。通过微就业服务平台调研显示，用人单位对学校毕业生总体满意度高，为97.10%。其中“非常满意”占比31.88%，“满意”占比47.83%，“比较满意”占比17.39%。调研数据显示，用人单位认为毕业生在求职中应加强学生求职临场反应、职业素养、对应聘单位的了解准备等方面的提升；用人单位招聘毕业生时最注重的因素是综合素质、社会适应能力和所学专业。在就业服务建议方面，用人单位认为学校应重点加强应届毕业生就业指导、增加校园招聘会场次、及时更新发布招聘信息、加强学生创新能力培养。</w:t>
      </w:r>
    </w:p>
    <w:p>
      <w:pPr>
        <w:adjustRightInd w:val="0"/>
        <w:snapToGrid w:val="0"/>
        <w:jc w:val="left"/>
        <w:rPr>
          <w:rFonts w:ascii="宋体" w:hAnsi="宋体" w:eastAsia="宋体" w:cs="宋体"/>
          <w:sz w:val="24"/>
        </w:rPr>
      </w:pPr>
    </w:p>
    <w:p>
      <w:pPr>
        <w:adjustRightInd w:val="0"/>
        <w:snapToGrid w:val="0"/>
        <w:jc w:val="left"/>
        <w:rPr>
          <w:rFonts w:asciiTheme="minorEastAsia" w:hAnsiTheme="minorEastAsia" w:cstheme="minorEastAsia"/>
          <w:b/>
          <w:bCs/>
          <w:sz w:val="24"/>
        </w:rPr>
      </w:pPr>
      <w:r>
        <w:rPr>
          <w:rFonts w:hint="eastAsia" w:asciiTheme="minorEastAsia" w:hAnsiTheme="minorEastAsia" w:cstheme="minorEastAsia"/>
          <w:b/>
          <w:bCs/>
          <w:sz w:val="24"/>
        </w:rPr>
        <w:t>26.毕业生对母校的满意度认可度调查结果</w:t>
      </w:r>
    </w:p>
    <w:p>
      <w:pPr>
        <w:adjustRightInd w:val="0"/>
        <w:snapToGrid w:val="0"/>
        <w:ind w:firstLine="480" w:firstLineChars="200"/>
        <w:jc w:val="left"/>
        <w:rPr>
          <w:rFonts w:ascii="宋体" w:hAnsi="宋体" w:eastAsia="宋体" w:cs="宋体"/>
          <w:sz w:val="24"/>
        </w:rPr>
      </w:pPr>
      <w:r>
        <w:rPr>
          <w:rFonts w:hint="eastAsia" w:asciiTheme="minorEastAsia" w:hAnsiTheme="minorEastAsia" w:cstheme="minorEastAsia"/>
          <w:sz w:val="24"/>
        </w:rPr>
        <w:t>2018 年下半年，新余学院组织开展了 2018 届毕业生和用人单位的相关调研，编制出《2018 届毕业生就业质量报告》。</w:t>
      </w:r>
      <w:r>
        <w:rPr>
          <w:rFonts w:ascii="宋体" w:hAnsi="宋体" w:eastAsia="宋体" w:cs="宋体"/>
          <w:sz w:val="24"/>
        </w:rPr>
        <w:t>调研数据显示，在母校人才培养方面，毕业生对学校人才培养满意度为93.86%。具体来看，对学校老师授课满意度最高，实践教学满意度次之。毕业生认为学校在教学上应重点改进的方面是“实践教学”，其次是“专业课内容及安排”，第三是“教学方法和手段”；毕业生认为学校在课程设置上应重点改进的方面是“本专业课程实用性”，其次是“实践课程安排次数”，第三是“专业课开设的先后顺序”。在就业指导服务工作方面，毕业生对学校就业服务工作满意度非常高，满意度均在 91.00%以上，其中满意度排名前三的就业工作服务是“就业政策宣传讲解”、“就业困难群体帮扶”、“就业手续办理”。</w:t>
      </w:r>
    </w:p>
    <w:p>
      <w:pPr>
        <w:adjustRightInd w:val="0"/>
        <w:snapToGrid w:val="0"/>
        <w:jc w:val="left"/>
        <w:rPr>
          <w:rFonts w:ascii="宋体" w:hAnsi="宋体" w:eastAsia="宋体" w:cs="宋体"/>
          <w:sz w:val="24"/>
        </w:rPr>
      </w:pPr>
      <w:r>
        <w:rPr>
          <w:rFonts w:ascii="宋体" w:hAnsi="宋体" w:eastAsia="宋体" w:cs="宋体"/>
          <w:sz w:val="24"/>
        </w:rPr>
        <w:t>毕业生认为学校应重点加强就业指导服务的方面是“面试指导与训练”，其次是“职业选择的方法”，再次是“明确职业目标”。整体来看，毕业生对母校推荐度为 92.00%，表明毕业生对母校的认可度较高。</w:t>
      </w:r>
    </w:p>
    <w:p>
      <w:pPr>
        <w:adjustRightInd w:val="0"/>
        <w:snapToGrid w:val="0"/>
        <w:jc w:val="left"/>
      </w:pPr>
    </w:p>
    <w:p>
      <w:pPr>
        <w:adjustRightInd w:val="0"/>
        <w:snapToGrid w:val="0"/>
        <w:jc w:val="left"/>
        <w:rPr>
          <w:rFonts w:asciiTheme="minorEastAsia" w:hAnsiTheme="minorEastAsia" w:cstheme="minorEastAsia"/>
          <w:b/>
          <w:bCs/>
          <w:sz w:val="24"/>
        </w:rPr>
      </w:pPr>
      <w:r>
        <w:rPr>
          <w:rFonts w:hint="eastAsia" w:asciiTheme="minorEastAsia" w:hAnsiTheme="minorEastAsia" w:cstheme="minorEastAsia"/>
          <w:b/>
          <w:bCs/>
          <w:sz w:val="24"/>
        </w:rPr>
        <w:t>27. 新余学院2018年度教师教学质量评价情况</w:t>
      </w:r>
    </w:p>
    <w:p>
      <w:pPr>
        <w:tabs>
          <w:tab w:val="left" w:pos="741"/>
        </w:tabs>
        <w:adjustRightInd w:val="0"/>
        <w:snapToGrid w:val="0"/>
        <w:ind w:firstLine="480" w:firstLineChars="200"/>
        <w:jc w:val="left"/>
        <w:rPr>
          <w:rFonts w:asciiTheme="minorEastAsia" w:hAnsiTheme="minorEastAsia" w:cstheme="minorEastAsia"/>
          <w:bCs/>
          <w:sz w:val="24"/>
        </w:rPr>
      </w:pPr>
      <w:r>
        <w:rPr>
          <w:rFonts w:hint="eastAsia" w:asciiTheme="minorEastAsia" w:hAnsiTheme="minorEastAsia" w:cstheme="minorEastAsia"/>
          <w:bCs/>
          <w:sz w:val="24"/>
        </w:rPr>
        <w:t>根据《新余学院教师教学质量评价办法》（余学院发﹝2018﹞8号），教学质量评估与督导中心组织各教学单位师生，对2017-2018学年第二学期、2018-2019学年第一学期任课教师的教学质量情况进行了评价。本年度教师教学质量评价的对象为我校所有承担了理论和实践课程教学的教师（含外聘）。评价体系由教师自评、学生评价、同行评价及教学单位督导评价四部分构成（简称“四位一体评价”），其中学生评价权重占80%、教师自评权重占5%、同行评价权重占5%，教学单位督导评价权重占10%。本年度共评价1115名教师（人次）。学生评价的总平均分为75.55分（满分80分），教师自评的总平均分为4.65分（满分5分），同行评价的总平均分为4.62分（满分5分），教学单位督导评价的总平均分为9.16分（满分10分），整体评价的总平均分为93.98分（满分100分）。以下是</w:t>
      </w:r>
      <w:r>
        <w:rPr>
          <w:rFonts w:hint="eastAsia" w:asciiTheme="minorEastAsia" w:hAnsiTheme="minorEastAsia" w:cstheme="minorEastAsia"/>
          <w:bCs/>
          <w:sz w:val="24"/>
          <w:lang w:val="en-US" w:eastAsia="zh-CN"/>
        </w:rPr>
        <w:t>2018年度</w:t>
      </w:r>
      <w:r>
        <w:rPr>
          <w:rFonts w:hint="eastAsia" w:asciiTheme="minorEastAsia" w:hAnsiTheme="minorEastAsia" w:cstheme="minorEastAsia"/>
          <w:bCs/>
          <w:sz w:val="24"/>
        </w:rPr>
        <w:t>各教学单位教师教学质量评价平均分统计情况。</w:t>
      </w:r>
    </w:p>
    <w:tbl>
      <w:tblPr>
        <w:tblStyle w:val="10"/>
        <w:tblW w:w="9390" w:type="dxa"/>
        <w:jc w:val="center"/>
        <w:tblInd w:w="0" w:type="dxa"/>
        <w:tblLayout w:type="fixed"/>
        <w:tblCellMar>
          <w:top w:w="15" w:type="dxa"/>
          <w:left w:w="15" w:type="dxa"/>
          <w:bottom w:w="15" w:type="dxa"/>
          <w:right w:w="15" w:type="dxa"/>
        </w:tblCellMar>
      </w:tblPr>
      <w:tblGrid>
        <w:gridCol w:w="2560"/>
        <w:gridCol w:w="1110"/>
        <w:gridCol w:w="1100"/>
        <w:gridCol w:w="1120"/>
        <w:gridCol w:w="1120"/>
        <w:gridCol w:w="1100"/>
        <w:gridCol w:w="1280"/>
      </w:tblGrid>
      <w:tr>
        <w:tblPrEx>
          <w:tblLayout w:type="fixed"/>
          <w:tblCellMar>
            <w:top w:w="15" w:type="dxa"/>
            <w:left w:w="15" w:type="dxa"/>
            <w:bottom w:w="15" w:type="dxa"/>
            <w:right w:w="15" w:type="dxa"/>
          </w:tblCellMar>
        </w:tblPrEx>
        <w:trPr>
          <w:trHeight w:val="81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被评教</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师人数</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学生评价</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教师自评</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同行评价</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督导评价</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整体总评</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新能源科学与工程学院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88</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75.53</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4.74</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4.79</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9.51</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94.57</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机电工程学院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86</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75.14</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4.77</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4.54</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9.11</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93.56</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数学与计算机学院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144</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76.02</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4.41</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4.76</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9.23</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94.42</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建筑工程学院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66</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75.96</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4.62</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4.55</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9.00</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94.13</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中兴通讯信息学院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72</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76.39</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4.91</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4.82</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9.64</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95.76</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护理与康复学院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119</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75.26</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4.83</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4.73</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9.20</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94.02</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文学与传媒学院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104</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75.33</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4.78</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4.65</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9.34</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94.10</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经济管理学院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120</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75.79</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4.38</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4.68</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8.84</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93.69</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外国语学院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124</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75.17</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4.73</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4.33</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8.62</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92.85</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体育学院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82</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75.64</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4.72</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4.86</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9.61</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94.83</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艺术学院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140</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74.61</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4.05</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4.32</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8.60</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91.58</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马克思主义学院</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42</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75.15</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4.72</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4.33</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8.81</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93.01</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工程训练中心</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28</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76.15</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4.76</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4.73</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9.56</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95.20</w:t>
            </w:r>
          </w:p>
        </w:tc>
      </w:tr>
      <w:tr>
        <w:tblPrEx>
          <w:tblLayout w:type="fixed"/>
          <w:tblCellMar>
            <w:top w:w="15" w:type="dxa"/>
            <w:left w:w="15" w:type="dxa"/>
            <w:bottom w:w="15" w:type="dxa"/>
            <w:right w:w="15" w:type="dxa"/>
          </w:tblCellMar>
        </w:tblPrEx>
        <w:trPr>
          <w:trHeight w:val="390" w:hRule="atLeast"/>
          <w:jc w:val="center"/>
        </w:trPr>
        <w:tc>
          <w:tcPr>
            <w:tcW w:w="256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单项指标平均分</w:t>
            </w:r>
          </w:p>
        </w:tc>
        <w:tc>
          <w:tcPr>
            <w:tcW w:w="11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75.55</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4.65</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4.62</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9.16</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93.98</w:t>
            </w:r>
          </w:p>
        </w:tc>
      </w:tr>
    </w:tbl>
    <w:p>
      <w:pPr>
        <w:tabs>
          <w:tab w:val="left" w:pos="696"/>
        </w:tabs>
        <w:adjustRightInd w:val="0"/>
        <w:snapToGrid w:val="0"/>
        <w:ind w:firstLine="482" w:firstLineChars="200"/>
        <w:jc w:val="left"/>
        <w:rPr>
          <w:rFonts w:asciiTheme="minorEastAsia" w:hAnsiTheme="minorEastAsia" w:cstheme="minorEastAsia"/>
          <w:b/>
          <w:sz w:val="24"/>
        </w:rPr>
      </w:pPr>
    </w:p>
    <w:p>
      <w:pPr>
        <w:adjustRightInd w:val="0"/>
        <w:snapToGrid w:val="0"/>
        <w:jc w:val="left"/>
        <w:rPr>
          <w:rFonts w:asciiTheme="minorEastAsia" w:hAnsiTheme="minorEastAsia" w:cstheme="minorEastAsia"/>
          <w:b/>
          <w:bCs/>
          <w:sz w:val="24"/>
        </w:rPr>
      </w:pPr>
      <w:r>
        <w:rPr>
          <w:rFonts w:hint="eastAsia" w:asciiTheme="minorEastAsia" w:hAnsiTheme="minorEastAsia" w:cstheme="minorEastAsia"/>
          <w:b/>
          <w:bCs/>
          <w:sz w:val="24"/>
        </w:rPr>
        <w:t>28.新余学院2018－2019学年第二学期教师教学质量评价情况</w:t>
      </w:r>
    </w:p>
    <w:p>
      <w:pPr>
        <w:tabs>
          <w:tab w:val="left" w:pos="741"/>
        </w:tabs>
        <w:adjustRightInd w:val="0"/>
        <w:snapToGrid w:val="0"/>
        <w:ind w:firstLine="480" w:firstLineChars="200"/>
        <w:jc w:val="left"/>
        <w:rPr>
          <w:rFonts w:asciiTheme="minorEastAsia" w:hAnsiTheme="minorEastAsia" w:cstheme="minorEastAsia"/>
          <w:sz w:val="24"/>
        </w:rPr>
      </w:pPr>
      <w:r>
        <w:rPr>
          <w:rFonts w:hint="eastAsia" w:asciiTheme="minorEastAsia" w:hAnsiTheme="minorEastAsia" w:cstheme="minorEastAsia"/>
          <w:sz w:val="24"/>
        </w:rPr>
        <w:t>2019年6月，教学质量评估与督导中心，根据</w:t>
      </w:r>
      <w:r>
        <w:rPr>
          <w:rFonts w:hint="eastAsia" w:asciiTheme="minorEastAsia" w:hAnsiTheme="minorEastAsia" w:cstheme="minorEastAsia"/>
          <w:sz w:val="24"/>
          <w:shd w:val="clear" w:color="auto" w:fill="FFFFFF"/>
        </w:rPr>
        <w:t>《新余学院教师教学质量评价办法》（余学院发﹝2018﹞8号）</w:t>
      </w:r>
      <w:r>
        <w:rPr>
          <w:rFonts w:hint="eastAsia" w:asciiTheme="minorEastAsia" w:hAnsiTheme="minorEastAsia" w:cstheme="minorEastAsia"/>
          <w:sz w:val="24"/>
        </w:rPr>
        <w:t>，组织各教学单位师生，对2018-2019学年第二学期任课教师的教学质量情况进行了评价。本学期教师教学质量评价的对象为我校所有承担了理论和实践课程教学的教师（含外聘）。评价体系由教师自评、学生评价、同行评价及</w:t>
      </w:r>
      <w:r>
        <w:rPr>
          <w:rFonts w:hint="eastAsia" w:asciiTheme="minorEastAsia" w:hAnsiTheme="minorEastAsia" w:cstheme="minorEastAsia"/>
          <w:sz w:val="24"/>
          <w:lang w:eastAsia="zh-CN"/>
        </w:rPr>
        <w:t>教学单位</w:t>
      </w:r>
      <w:r>
        <w:rPr>
          <w:rFonts w:hint="eastAsia" w:asciiTheme="minorEastAsia" w:hAnsiTheme="minorEastAsia" w:cstheme="minorEastAsia"/>
          <w:sz w:val="24"/>
        </w:rPr>
        <w:t>督导评价四部分构成，其中学生评价权重占80%、教师自评权重占5%、同行评价权重占5%，教学单位督导评价权重占10%。本学期共评价555名教师。学生评价的总平均分为75.92分（满分80分），教师自评的总平均分为4.80分（满分5分），同行评价的总平均分为4.67分（满分5分），教学单位督导评价的总平均分为9.35分（满分10分），整体评价的总平均分为94.74分（满分100分）。以下是</w:t>
      </w:r>
      <w:r>
        <w:rPr>
          <w:rFonts w:hint="eastAsia" w:asciiTheme="minorEastAsia" w:hAnsiTheme="minorEastAsia" w:cstheme="minorEastAsia"/>
          <w:sz w:val="24"/>
          <w:lang w:eastAsia="zh-CN"/>
        </w:rPr>
        <w:t>该学期</w:t>
      </w:r>
      <w:r>
        <w:rPr>
          <w:rFonts w:hint="eastAsia" w:asciiTheme="minorEastAsia" w:hAnsiTheme="minorEastAsia" w:cstheme="minorEastAsia"/>
          <w:sz w:val="24"/>
        </w:rPr>
        <w:t>各教学单位教师评价平均分统计情况。</w:t>
      </w:r>
    </w:p>
    <w:tbl>
      <w:tblPr>
        <w:tblStyle w:val="10"/>
        <w:tblW w:w="9227" w:type="dxa"/>
        <w:jc w:val="center"/>
        <w:tblInd w:w="163" w:type="dxa"/>
        <w:tblLayout w:type="fixed"/>
        <w:tblCellMar>
          <w:top w:w="15" w:type="dxa"/>
          <w:left w:w="15" w:type="dxa"/>
          <w:bottom w:w="15" w:type="dxa"/>
          <w:right w:w="15" w:type="dxa"/>
        </w:tblCellMar>
      </w:tblPr>
      <w:tblGrid>
        <w:gridCol w:w="2550"/>
        <w:gridCol w:w="957"/>
        <w:gridCol w:w="1100"/>
        <w:gridCol w:w="1120"/>
        <w:gridCol w:w="1120"/>
        <w:gridCol w:w="1100"/>
        <w:gridCol w:w="1280"/>
      </w:tblGrid>
      <w:tr>
        <w:tblPrEx>
          <w:tblLayout w:type="fixed"/>
          <w:tblCellMar>
            <w:top w:w="15" w:type="dxa"/>
            <w:left w:w="15" w:type="dxa"/>
            <w:bottom w:w="15" w:type="dxa"/>
            <w:right w:w="15" w:type="dxa"/>
          </w:tblCellMar>
        </w:tblPrEx>
        <w:trPr>
          <w:trHeight w:val="810"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被评教</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师人数</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学生评价</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教师自评</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同行评价</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督导评价</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整体总评</w:t>
            </w:r>
          </w:p>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平均分</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新能源科学与工程学院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48</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75.81</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4.87</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4.72</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9.64</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95.04</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机电工程学院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41</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76.53</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4.88</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4.75</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9.60</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95.75</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数学与计算机学院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49</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76.20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4.92</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4.88</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9.65</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95.65</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建筑工程学院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33</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76.67</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4.91</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4.80</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9.24</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95.61</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中兴通讯信息学院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32</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76.84</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4.93</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4.87</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9.74</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96.38</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护理与康复学院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36</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75.40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4.86</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4.82</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9.19</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94.27</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文学与传媒学院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48</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75.50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4.56</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9.53</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94.39</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经济管理学院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42</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75.52</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4.91</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4.63</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9.31</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94.37</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外国语学院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51</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75.85</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4.90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4.65</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9.29</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94.69</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体育学院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41</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76.71</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4.90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4.86</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9.31</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95.78</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艺术学院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65</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74.96</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4.50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4.14</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8.61</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92.21</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马克思主义学院</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23</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75.39</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4.83</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4.80</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9.23</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94.24</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工程训练中心</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16</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76.48</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3.69</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4.74</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9.63</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94.52</w:t>
            </w: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sz w:val="24"/>
              </w:rPr>
              <w:t>学生工作部</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31</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76.10</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未评</w:t>
            </w:r>
          </w:p>
        </w:tc>
        <w:tc>
          <w:tcPr>
            <w:tcW w:w="112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未评</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未评</w:t>
            </w:r>
          </w:p>
        </w:tc>
        <w:tc>
          <w:tcPr>
            <w:tcW w:w="128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p>
        </w:tc>
      </w:tr>
      <w:tr>
        <w:tblPrEx>
          <w:tblLayout w:type="fixed"/>
          <w:tblCellMar>
            <w:top w:w="15" w:type="dxa"/>
            <w:left w:w="15" w:type="dxa"/>
            <w:bottom w:w="15" w:type="dxa"/>
            <w:right w:w="15" w:type="dxa"/>
          </w:tblCellMar>
        </w:tblPrEx>
        <w:trPr>
          <w:trHeight w:val="397" w:hRule="atLeast"/>
          <w:jc w:val="center"/>
        </w:trPr>
        <w:tc>
          <w:tcPr>
            <w:tcW w:w="255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单项指标平均分</w:t>
            </w:r>
          </w:p>
        </w:tc>
        <w:tc>
          <w:tcPr>
            <w:tcW w:w="957"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textAlignment w:val="center"/>
              <w:rPr>
                <w:rFonts w:asciiTheme="minorEastAsia" w:hAnsiTheme="minorEastAsia" w:cstheme="minorEastAsia"/>
                <w:kern w:val="0"/>
                <w:sz w:val="24"/>
              </w:rPr>
            </w:pP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75.92</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4.80</w:t>
            </w:r>
          </w:p>
        </w:tc>
        <w:tc>
          <w:tcPr>
            <w:tcW w:w="112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4.67</w:t>
            </w:r>
          </w:p>
        </w:tc>
        <w:tc>
          <w:tcPr>
            <w:tcW w:w="110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9.35</w:t>
            </w:r>
          </w:p>
        </w:tc>
        <w:tc>
          <w:tcPr>
            <w:tcW w:w="128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94.74</w:t>
            </w:r>
          </w:p>
        </w:tc>
      </w:tr>
    </w:tbl>
    <w:p>
      <w:pPr>
        <w:tabs>
          <w:tab w:val="left" w:pos="696"/>
        </w:tabs>
        <w:adjustRightInd w:val="0"/>
        <w:snapToGrid w:val="0"/>
        <w:ind w:firstLine="482" w:firstLineChars="200"/>
        <w:jc w:val="left"/>
        <w:rPr>
          <w:rFonts w:asciiTheme="minorEastAsia" w:hAnsiTheme="minorEastAsia" w:cstheme="minorEastAsia"/>
          <w:b/>
          <w:sz w:val="24"/>
        </w:rPr>
      </w:pPr>
    </w:p>
    <w:p>
      <w:pPr>
        <w:adjustRightInd w:val="0"/>
        <w:snapToGrid w:val="0"/>
        <w:rPr>
          <w:rFonts w:asciiTheme="minorEastAsia" w:hAnsiTheme="minorEastAsia" w:cstheme="minorEastAsia"/>
          <w:b/>
          <w:sz w:val="24"/>
        </w:rPr>
      </w:pPr>
      <w:r>
        <w:rPr>
          <w:rFonts w:hint="eastAsia" w:asciiTheme="minorEastAsia" w:hAnsiTheme="minorEastAsia" w:cstheme="minorEastAsia"/>
          <w:b/>
          <w:sz w:val="24"/>
        </w:rPr>
        <w:t>29.2018－2019年学生参加国家级专业比赛获奖情况</w:t>
      </w:r>
    </w:p>
    <w:p>
      <w:pPr>
        <w:rPr>
          <w:b/>
          <w:bCs/>
          <w:sz w:val="24"/>
        </w:rPr>
      </w:pPr>
    </w:p>
    <w:p>
      <w:pPr>
        <w:rPr>
          <w:b/>
          <w:bCs/>
          <w:sz w:val="24"/>
        </w:rPr>
      </w:pPr>
      <w:r>
        <w:rPr>
          <w:rFonts w:hint="eastAsia"/>
          <w:b/>
          <w:bCs/>
          <w:sz w:val="24"/>
        </w:rPr>
        <w:t>综合类</w:t>
      </w:r>
    </w:p>
    <w:tbl>
      <w:tblPr>
        <w:tblStyle w:val="10"/>
        <w:tblW w:w="9751" w:type="dxa"/>
        <w:tblInd w:w="0" w:type="dxa"/>
        <w:tblLayout w:type="fixed"/>
        <w:tblCellMar>
          <w:top w:w="0" w:type="dxa"/>
          <w:left w:w="0" w:type="dxa"/>
          <w:bottom w:w="0" w:type="dxa"/>
          <w:right w:w="0" w:type="dxa"/>
        </w:tblCellMar>
      </w:tblPr>
      <w:tblGrid>
        <w:gridCol w:w="1296"/>
        <w:gridCol w:w="1080"/>
        <w:gridCol w:w="4588"/>
        <w:gridCol w:w="1025"/>
        <w:gridCol w:w="1050"/>
        <w:gridCol w:w="712"/>
      </w:tblGrid>
      <w:tr>
        <w:tblPrEx>
          <w:tblLayout w:type="fixed"/>
          <w:tblCellMar>
            <w:top w:w="0" w:type="dxa"/>
            <w:left w:w="0" w:type="dxa"/>
            <w:bottom w:w="0" w:type="dxa"/>
            <w:right w:w="0" w:type="dxa"/>
          </w:tblCellMar>
        </w:tblPrEx>
        <w:trPr>
          <w:trHeight w:val="31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学号</w:t>
            </w:r>
          </w:p>
        </w:tc>
        <w:tc>
          <w:tcPr>
            <w:tcW w:w="1080"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学生姓名</w:t>
            </w:r>
          </w:p>
        </w:tc>
        <w:tc>
          <w:tcPr>
            <w:tcW w:w="4588"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竞赛名称</w:t>
            </w:r>
          </w:p>
        </w:tc>
        <w:tc>
          <w:tcPr>
            <w:tcW w:w="1025"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获奖时间</w:t>
            </w:r>
          </w:p>
        </w:tc>
        <w:tc>
          <w:tcPr>
            <w:tcW w:w="1050"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获奖等级</w:t>
            </w:r>
          </w:p>
        </w:tc>
        <w:tc>
          <w:tcPr>
            <w:tcW w:w="712"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说明</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1505220044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郑宇声</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第十届大学生广告艺术大赛（国家级）</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1505220009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何健</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第十届大学生广告艺术大赛（国家级）</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1505220004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陈鑫</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第十届大学生广告艺术大赛（国家级）</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1505220001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安泓忆</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第十届大学生广告艺术大赛（国家级）</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1505220012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黄翔</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第十届海峡两岸电视主持新人大赛 全国总决赛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1704222032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占卫敏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第二届康复医学教育创新创业大赛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1604220036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魏雨榕</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第二届康复医学教育创新创业大赛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1615220040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彭家强</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第二届康复医学教育创新创业大赛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1604220027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黄磊</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第二届康复医学教育创新创业大赛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1604220024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黄雨婷</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第二届康复医学教育创新创业大赛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1704222004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黄彦鑫</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第二届康复医学教育创新创业大赛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1606220026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付盈</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1606220009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周倩</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叶文文</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1606220008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陈欣婷</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刘璐</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1606220003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江超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1606220036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丁佳莉</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1606220017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苏梅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甘冰冰</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1606220031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李敏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何易芝</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1606220007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易柳笛</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1606220005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田玲</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徐婉静</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1606220020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陈西若</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谢忠珠</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1606220023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和承芬</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1606220035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郭芳兰</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1606220022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周绮雯</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1606220018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胡梦云</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2018年第八届POCIB全国外贸从业能力大赛（秋季赛）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1608220029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吴浩</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1608220024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涂云川</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1608220005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何育柱</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1708211001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冉志鑫</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1708211018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王轶</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1708211025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康显伟</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1708221036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徐瑜</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1708221034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郜萍</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1708221035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叶妙容</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1708221017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郭优美</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1708221012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姚玲</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1708221018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周小兰</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第四届“东方财富杯”全国</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大学生金融精英挑战赛国赛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1608220009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冷赟一</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“税友衡信杯”全国税务技能大赛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1608220023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涂冬冬</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“税友衡信杯”全国税务技能大赛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1608220039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张书琴</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“税友衡信杯”全国税务技能大赛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张文煊</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第二届全国跨境电子商务技能竞赛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1708231037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黄梦玲</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第二届全国跨境电子商务技能竞赛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叶支松</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第二届全国跨境电子商务技能竞赛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张文煊</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第三届“奥派杯”全国移动商务技能竞赛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1708231012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孙紫微</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第三届“奥派杯”全国移动商务技能竞赛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1708231016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袁慧</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第三届“奥派杯”全国移动商务技能竞赛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1507220049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邓凯</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第四届全国高等院校工程造价技能及创新大赛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1507220006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周佳</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第四届全国高等院校工程造价技能及创新大赛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1507220004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徐月莹</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第四届全国高等院校工程造价技能及创新大赛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1507220029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张皓坤</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2018年全国高等院校BIM造价应用技能竞赛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1507220005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薛莹</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2018年全国高等院校BIM造价应用技能竞赛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1507220003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熊慧敏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2018年全国高等院校BIM造价应用技能竞赛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1611212002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何静</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1501240024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许豪</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1611213001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崔诗曼</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1501210016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钟瑞清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1611212002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何静</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1501240024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许豪</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1611213001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崔诗曼</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1501210016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钟瑞清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全国三维数字化创新设计大赛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2018</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孙政</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董思慧</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张玮</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1608230045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吴琴</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杨群燏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1608220044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刘思毓</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吴亦钒</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特等奖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沈佩琳</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1608230020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陈伟</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兰凡</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陈锡银</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李志艳</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1608230040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陈龙</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1608230042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郭志清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黄如鹏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1608230028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何文斌</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1608230024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邱鹏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张文煊</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叶支松</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1608230003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马骏仁</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郭虹</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1608230041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伍敏娜</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应佳铭</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1608230029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杨倩</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谢雯娟</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康富群</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夏芮</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1608230018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周苗苗</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1608230043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易陆凤</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1608230009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张芳芳</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1708232037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肖韦</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1708232006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邱杰铃</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1708232034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梁乐兰</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1708232026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赖丽蓉</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1708232017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刘慧慧</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1708232002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徐静</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1706221014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许宇雯</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全国新零售买手创业技能大赛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一等奖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韩颖</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1608220031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项展振</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1608220022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仝配宇</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1808222049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孙梦</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1808222050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曾利珍</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1808222030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赖菊琴</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1608210041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陈添</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1608210001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丁智华</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1608210040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刘荣根</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1608210005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石帅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1608210003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蒙经纬</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1608210006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李伟成</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1808222051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谢丽云</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1808222052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白渝琪</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刘美威</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1808222033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洪丹</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沈玉萍</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1808222031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胡逸清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1708222040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周羽平</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1708222004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董林辉</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1708222023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毛长能</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第五届“东方财富杯”全国大学生金融精英挑战赛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1608210003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蒙经纬</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2019全国金融与证券投资</w:t>
            </w:r>
            <w:r>
              <w:rPr>
                <w:rStyle w:val="22"/>
                <w:rFonts w:hint="eastAsia" w:asciiTheme="minorEastAsia" w:hAnsiTheme="minorEastAsia" w:cstheme="minorEastAsia"/>
                <w:color w:val="auto"/>
                <w:sz w:val="24"/>
                <w:szCs w:val="24"/>
              </w:rPr>
              <w:br w:type="textWrapping"/>
            </w:r>
            <w:r>
              <w:rPr>
                <w:rStyle w:val="22"/>
                <w:rFonts w:hint="eastAsia" w:asciiTheme="minorEastAsia" w:hAnsiTheme="minorEastAsia" w:cstheme="minorEastAsia"/>
                <w:color w:val="auto"/>
                <w:sz w:val="24"/>
                <w:szCs w:val="24"/>
              </w:rPr>
              <w:t>模拟实训大赛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1808221045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郭佩佩</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2019“金蝶杯”全国大学生管理会计案例分析大赛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1808221016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陆丹娇</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2019“金蝶杯”全国大学生管理会计案例分析大赛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1808221023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朱蕊蕊</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2019“金蝶杯”全国大学生管理会计案例分析大赛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1808221041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张雨竹</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2019“金蝶杯”全国大学生管理会计案例分析大赛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1708221034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郜萍</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2019“金蝶杯”全国大学生管理会计案例分析大赛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1803231004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丁月凌</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第七届中国TRIZ杯大学生创新方法大赛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1803231002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邓倚雄</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第七届中国TRIZ杯大学生创新方法大赛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1803231008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韩传帅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第七届中国TRIZ杯大学生创新方法大赛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1803231009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贺源发</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第七届中国TRIZ杯大学生创新方法大赛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1803231010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胡子贤</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第七届中国TRIZ杯大学生创新方法大赛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1703222001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曹钟琨</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第十六届“挑战杯”全国大学生课外学术科技作品竞赛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1703222021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吴昊</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第十六届“挑战杯”全国大学生课外学术科技作品竞赛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1703221011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胡郭波</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第十六届“挑战杯”全国大学生课外学术科技作品竞赛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1703231012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黎思滨</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第十六届“挑战杯”全国大学生课外学术科技作品竞赛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1703231011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李岩松</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第十六届“挑战杯”全国大学生课外学术科技作品竞赛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1701210035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欧阳福敏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第十二届全国周培源大学生力学竞赛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个人奖</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1701242017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赵德玉</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第十二届“高教杯”全国大学生先进成图技术与产品信息建模创新大赛 机械类 尺规绘图</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个人奖</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1701242030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程国超</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第十二届全国周培源大学生力学竞赛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个人奖</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1701233012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胡雪勇</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十三届”西门子“中国智能制造挑战赛总决赛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1701233016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安康</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十三届”西门子“中国智能制造挑战赛总决赛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1801233019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肖龙鑫</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十三届”西门子“中国智能制造挑战赛总决赛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1701233029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邓小通</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2019中国工程机器人大赛暨国际公开赛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1615220032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叶佳星</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2019中国工程机器人大赛暨国际公开赛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1701233016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安康</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2019中国工程机器人大赛暨国际公开赛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1602230047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刘卫春</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2019中国工程机器人大赛暨国际公开赛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1701233012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胡雪勇</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2019年第十三届“西门子杯”中国智能制造挑战赛决赛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1701233016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安康</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2019年第十三届“西门子杯”中国智能制造挑战赛决赛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1801233019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肖龙鑫</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2019年第十三届“西门子杯”中国智能制造挑战赛决赛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1602220013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黄慧敏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1507210041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张天林</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1602220010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汪园</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1702221042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周文惠</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1702221057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李娟</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1702221031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王慧</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1702221043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彭凌轩</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1702222013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彭可欣</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1702222052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徐盼盼</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1702221056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张凯强</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1702221033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谢第赋</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1702221054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蒋林峰</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1602220007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陈丽银</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1602220017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朱思梦</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1602220031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王剑东</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美国大学生数学建模竞赛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1602210039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邹乐旺</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第十届蓝桥杯全国软件和信息技术专业人才大赛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二等奖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1702211043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周宇亮</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第十届蓝桥杯全国软件和信息技术专业人才大赛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1702211044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李丝佳</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第十届蓝桥杯全国软件和信息技术专业人才大赛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1702211022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刘子恒</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第十届蓝桥杯全国软件和信息技术专业人才大赛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1702212035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孔韬</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第十届蓝桥杯全国软件和信息技术专业人才大赛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1706221026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李旋</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第三届“全球语通”百万大学生外语听说大赛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2019</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三等奖</w:t>
            </w:r>
          </w:p>
        </w:tc>
        <w:tc>
          <w:tcPr>
            <w:tcW w:w="71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Style w:val="22"/>
                <w:rFonts w:hint="eastAsia" w:asciiTheme="minorEastAsia" w:hAnsiTheme="minorEastAsia" w:cstheme="minorEastAsia"/>
                <w:color w:val="auto"/>
                <w:sz w:val="24"/>
                <w:szCs w:val="24"/>
              </w:rPr>
              <w:t>个人</w:t>
            </w:r>
          </w:p>
        </w:tc>
      </w:tr>
    </w:tbl>
    <w:p/>
    <w:p>
      <w:pPr>
        <w:rPr>
          <w:b/>
          <w:bCs/>
          <w:sz w:val="24"/>
        </w:rPr>
      </w:pPr>
      <w:r>
        <w:rPr>
          <w:rFonts w:hint="eastAsia"/>
          <w:b/>
          <w:bCs/>
          <w:sz w:val="24"/>
        </w:rPr>
        <w:t>体育类</w:t>
      </w:r>
    </w:p>
    <w:tbl>
      <w:tblPr>
        <w:tblStyle w:val="10"/>
        <w:tblW w:w="9751" w:type="dxa"/>
        <w:tblInd w:w="0" w:type="dxa"/>
        <w:tblLayout w:type="fixed"/>
        <w:tblCellMar>
          <w:top w:w="0" w:type="dxa"/>
          <w:left w:w="0" w:type="dxa"/>
          <w:bottom w:w="0" w:type="dxa"/>
          <w:right w:w="0" w:type="dxa"/>
        </w:tblCellMar>
      </w:tblPr>
      <w:tblGrid>
        <w:gridCol w:w="1296"/>
        <w:gridCol w:w="1080"/>
        <w:gridCol w:w="4588"/>
        <w:gridCol w:w="1025"/>
        <w:gridCol w:w="1062"/>
        <w:gridCol w:w="700"/>
      </w:tblGrid>
      <w:tr>
        <w:tblPrEx>
          <w:tblLayout w:type="fixed"/>
          <w:tblCellMar>
            <w:top w:w="0" w:type="dxa"/>
            <w:left w:w="0" w:type="dxa"/>
            <w:bottom w:w="0" w:type="dxa"/>
            <w:right w:w="0" w:type="dxa"/>
          </w:tblCellMar>
        </w:tblPrEx>
        <w:trPr>
          <w:trHeight w:val="31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学号</w:t>
            </w:r>
          </w:p>
        </w:tc>
        <w:tc>
          <w:tcPr>
            <w:tcW w:w="1080"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学生姓名</w:t>
            </w:r>
          </w:p>
        </w:tc>
        <w:tc>
          <w:tcPr>
            <w:tcW w:w="4588"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sz w:val="24"/>
              </w:rPr>
            </w:pPr>
            <w:r>
              <w:rPr>
                <w:rFonts w:hint="eastAsia" w:asciiTheme="minorEastAsia" w:hAnsiTheme="minorEastAsia" w:cstheme="minorEastAsia"/>
                <w:b/>
                <w:kern w:val="0"/>
                <w:sz w:val="24"/>
              </w:rPr>
              <w:t>比赛名称</w:t>
            </w:r>
          </w:p>
        </w:tc>
        <w:tc>
          <w:tcPr>
            <w:tcW w:w="1025"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获奖时间</w:t>
            </w:r>
          </w:p>
        </w:tc>
        <w:tc>
          <w:tcPr>
            <w:tcW w:w="1062"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pPr>
            <w:r>
              <w:rPr>
                <w:rFonts w:hint="eastAsia" w:asciiTheme="minorEastAsia" w:hAnsiTheme="minorEastAsia" w:cstheme="minorEastAsia"/>
                <w:b/>
                <w:kern w:val="0"/>
                <w:sz w:val="24"/>
              </w:rPr>
              <w:t>获奖名次</w:t>
            </w:r>
          </w:p>
        </w:tc>
        <w:tc>
          <w:tcPr>
            <w:tcW w:w="700"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sz w:val="24"/>
              </w:rPr>
            </w:pPr>
            <w:r>
              <w:rPr>
                <w:rFonts w:hint="eastAsia" w:asciiTheme="minorEastAsia" w:hAnsiTheme="minorEastAsia" w:cstheme="minorEastAsia"/>
                <w:b/>
                <w:kern w:val="0"/>
                <w:sz w:val="24"/>
              </w:rPr>
              <w:t>说明</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1709212006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黄鑫</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1709212002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王闽洁</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1709212001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王晓然</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1709211004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徐思敏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1809211006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吴金萌</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1809212003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纪千一</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1709222044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吴昱璇</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1808231001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杨兴鹏</w:t>
            </w:r>
          </w:p>
        </w:tc>
        <w:tc>
          <w:tcPr>
            <w:tcW w:w="45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2019全国运动训练竞赛联盟啦啦操比赛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第一名</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bl>
    <w:p/>
    <w:p>
      <w:pPr>
        <w:rPr>
          <w:b/>
          <w:bCs/>
          <w:sz w:val="24"/>
        </w:rPr>
      </w:pPr>
      <w:r>
        <w:rPr>
          <w:rFonts w:hint="eastAsia"/>
          <w:b/>
          <w:bCs/>
          <w:sz w:val="24"/>
        </w:rPr>
        <w:t>艺术类</w:t>
      </w:r>
    </w:p>
    <w:tbl>
      <w:tblPr>
        <w:tblStyle w:val="10"/>
        <w:tblW w:w="9751" w:type="dxa"/>
        <w:tblInd w:w="0" w:type="dxa"/>
        <w:tblLayout w:type="fixed"/>
        <w:tblCellMar>
          <w:top w:w="0" w:type="dxa"/>
          <w:left w:w="0" w:type="dxa"/>
          <w:bottom w:w="0" w:type="dxa"/>
          <w:right w:w="0" w:type="dxa"/>
        </w:tblCellMar>
      </w:tblPr>
      <w:tblGrid>
        <w:gridCol w:w="1296"/>
        <w:gridCol w:w="1080"/>
        <w:gridCol w:w="4575"/>
        <w:gridCol w:w="13"/>
        <w:gridCol w:w="1025"/>
        <w:gridCol w:w="1062"/>
        <w:gridCol w:w="700"/>
      </w:tblGrid>
      <w:tr>
        <w:tblPrEx>
          <w:tblLayout w:type="fixed"/>
          <w:tblCellMar>
            <w:top w:w="0" w:type="dxa"/>
            <w:left w:w="0" w:type="dxa"/>
            <w:bottom w:w="0" w:type="dxa"/>
            <w:right w:w="0" w:type="dxa"/>
          </w:tblCellMar>
        </w:tblPrEx>
        <w:trPr>
          <w:trHeight w:val="31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学号</w:t>
            </w:r>
          </w:p>
        </w:tc>
        <w:tc>
          <w:tcPr>
            <w:tcW w:w="1080"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学生姓名</w:t>
            </w:r>
          </w:p>
        </w:tc>
        <w:tc>
          <w:tcPr>
            <w:tcW w:w="4588" w:type="dxa"/>
            <w:gridSpan w:val="2"/>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sz w:val="24"/>
              </w:rPr>
            </w:pPr>
            <w:r>
              <w:rPr>
                <w:rFonts w:hint="eastAsia" w:asciiTheme="minorEastAsia" w:hAnsiTheme="minorEastAsia" w:cstheme="minorEastAsia"/>
                <w:b/>
                <w:kern w:val="0"/>
                <w:sz w:val="24"/>
              </w:rPr>
              <w:t>比赛名称</w:t>
            </w:r>
          </w:p>
        </w:tc>
        <w:tc>
          <w:tcPr>
            <w:tcW w:w="1025"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b/>
                <w:sz w:val="24"/>
              </w:rPr>
            </w:pPr>
            <w:r>
              <w:rPr>
                <w:rFonts w:hint="eastAsia" w:asciiTheme="minorEastAsia" w:hAnsiTheme="minorEastAsia" w:cstheme="minorEastAsia"/>
                <w:b/>
                <w:kern w:val="0"/>
                <w:sz w:val="24"/>
              </w:rPr>
              <w:t>获奖时间</w:t>
            </w:r>
          </w:p>
        </w:tc>
        <w:tc>
          <w:tcPr>
            <w:tcW w:w="1062"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pPr>
            <w:r>
              <w:rPr>
                <w:rFonts w:hint="eastAsia" w:asciiTheme="minorEastAsia" w:hAnsiTheme="minorEastAsia" w:cstheme="minorEastAsia"/>
                <w:b/>
                <w:kern w:val="0"/>
                <w:sz w:val="24"/>
              </w:rPr>
              <w:t>获奖名次</w:t>
            </w:r>
          </w:p>
        </w:tc>
        <w:tc>
          <w:tcPr>
            <w:tcW w:w="700" w:type="dxa"/>
            <w:tcBorders>
              <w:top w:val="single" w:color="000000" w:sz="4" w:space="0"/>
              <w:left w:val="single" w:color="000000" w:sz="4" w:space="0"/>
              <w:bottom w:val="single" w:color="000000" w:sz="4" w:space="0"/>
              <w:right w:val="single" w:color="000000" w:sz="4" w:space="0"/>
            </w:tcBorders>
            <w:shd w:val="clear" w:color="auto" w:fill="00FF00"/>
            <w:noWrap/>
            <w:tcMar>
              <w:top w:w="15" w:type="dxa"/>
              <w:left w:w="15" w:type="dxa"/>
              <w:right w:w="15" w:type="dxa"/>
            </w:tcMar>
            <w:vAlign w:val="bottom"/>
          </w:tcPr>
          <w:p>
            <w:pPr>
              <w:widowControl/>
              <w:jc w:val="center"/>
              <w:textAlignment w:val="bottom"/>
              <w:rPr>
                <w:rFonts w:asciiTheme="minorEastAsia" w:hAnsiTheme="minorEastAsia" w:cstheme="minorEastAsia"/>
                <w:sz w:val="24"/>
              </w:rPr>
            </w:pPr>
            <w:r>
              <w:rPr>
                <w:rFonts w:hint="eastAsia" w:asciiTheme="minorEastAsia" w:hAnsiTheme="minorEastAsia" w:cstheme="minorEastAsia"/>
                <w:b/>
                <w:kern w:val="0"/>
                <w:sz w:val="24"/>
              </w:rPr>
              <w:t>说明</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1611223006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高敏</w:t>
            </w:r>
          </w:p>
        </w:tc>
        <w:tc>
          <w:tcPr>
            <w:tcW w:w="4588"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2018中国大学生广告艺术节学院奖</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三等奖</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1611223007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韩笑</w:t>
            </w:r>
          </w:p>
        </w:tc>
        <w:tc>
          <w:tcPr>
            <w:tcW w:w="4588"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2018中国大学生广告艺术节学院奖</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三等奖</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1611223020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张繁</w:t>
            </w:r>
          </w:p>
        </w:tc>
        <w:tc>
          <w:tcPr>
            <w:tcW w:w="4588"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2018中国大学生广告艺术节学院奖</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三等奖</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团体</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1710210022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汤杨丹</w:t>
            </w:r>
          </w:p>
        </w:tc>
        <w:tc>
          <w:tcPr>
            <w:tcW w:w="4588"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2019年第十二届中国梦全国文化艺术展演活动全国总决赛</w:t>
            </w:r>
          </w:p>
        </w:tc>
        <w:tc>
          <w:tcPr>
            <w:tcW w:w="10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2019</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金奖</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个人</w:t>
            </w:r>
          </w:p>
        </w:tc>
      </w:tr>
      <w:tr>
        <w:tblPrEx>
          <w:tblLayout w:type="fixed"/>
          <w:tblCellMar>
            <w:top w:w="0" w:type="dxa"/>
            <w:left w:w="0" w:type="dxa"/>
            <w:bottom w:w="0" w:type="dxa"/>
            <w:right w:w="0" w:type="dxa"/>
          </w:tblCellMar>
        </w:tblPrEx>
        <w:trPr>
          <w:trHeight w:val="255" w:hRule="atLeast"/>
        </w:trPr>
        <w:tc>
          <w:tcPr>
            <w:tcW w:w="129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1505220012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黄翔</w:t>
            </w:r>
          </w:p>
        </w:tc>
        <w:tc>
          <w:tcPr>
            <w:tcW w:w="457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第十届海峡两岸主持人大赛</w:t>
            </w:r>
          </w:p>
        </w:tc>
        <w:tc>
          <w:tcPr>
            <w:tcW w:w="1038"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kern w:val="0"/>
                <w:sz w:val="24"/>
              </w:rPr>
            </w:pPr>
            <w:r>
              <w:rPr>
                <w:rFonts w:hint="eastAsia" w:asciiTheme="minorEastAsia" w:hAnsiTheme="minorEastAsia" w:cstheme="minorEastAsia"/>
                <w:kern w:val="0"/>
                <w:sz w:val="24"/>
              </w:rPr>
              <w:t>2018</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pPr>
            <w:r>
              <w:rPr>
                <w:rFonts w:hint="eastAsia" w:asciiTheme="minorEastAsia" w:hAnsiTheme="minorEastAsia" w:cstheme="minorEastAsia"/>
                <w:kern w:val="0"/>
                <w:sz w:val="24"/>
              </w:rPr>
              <w:t>铜奖</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个人</w:t>
            </w:r>
          </w:p>
        </w:tc>
      </w:tr>
    </w:tbl>
    <w:p/>
    <w:p/>
    <w:p>
      <w:pPr>
        <w:adjustRightInd w:val="0"/>
        <w:snapToGrid w:val="0"/>
        <w:rPr>
          <w:rFonts w:asciiTheme="minorEastAsia" w:hAnsiTheme="minorEastAsia" w:cstheme="minorEastAsia"/>
          <w:b/>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2A570A"/>
    <w:multiLevelType w:val="singleLevel"/>
    <w:tmpl w:val="C72A570A"/>
    <w:lvl w:ilvl="0" w:tentative="0">
      <w:start w:val="2"/>
      <w:numFmt w:val="decimal"/>
      <w:suff w:val="nothing"/>
      <w:lvlText w:val="（%1）"/>
      <w:lvlJc w:val="left"/>
    </w:lvl>
  </w:abstractNum>
  <w:abstractNum w:abstractNumId="1">
    <w:nsid w:val="5F4632B8"/>
    <w:multiLevelType w:val="singleLevel"/>
    <w:tmpl w:val="5F4632B8"/>
    <w:lvl w:ilvl="0" w:tentative="0">
      <w:start w:val="2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6164B1"/>
    <w:rsid w:val="000000AD"/>
    <w:rsid w:val="00094906"/>
    <w:rsid w:val="001476DF"/>
    <w:rsid w:val="00177106"/>
    <w:rsid w:val="002B335F"/>
    <w:rsid w:val="00375B7B"/>
    <w:rsid w:val="006164B1"/>
    <w:rsid w:val="008067C1"/>
    <w:rsid w:val="00862E82"/>
    <w:rsid w:val="008F4488"/>
    <w:rsid w:val="009669A0"/>
    <w:rsid w:val="009A6709"/>
    <w:rsid w:val="009D440E"/>
    <w:rsid w:val="00A651EB"/>
    <w:rsid w:val="00AB1E61"/>
    <w:rsid w:val="00BB10C6"/>
    <w:rsid w:val="00BE4061"/>
    <w:rsid w:val="00C101FD"/>
    <w:rsid w:val="00C113AD"/>
    <w:rsid w:val="00C901E1"/>
    <w:rsid w:val="00CB6C53"/>
    <w:rsid w:val="00DD0236"/>
    <w:rsid w:val="00E475A4"/>
    <w:rsid w:val="00E57775"/>
    <w:rsid w:val="00ED3044"/>
    <w:rsid w:val="00F279A9"/>
    <w:rsid w:val="01363331"/>
    <w:rsid w:val="016526C8"/>
    <w:rsid w:val="02AC0ED3"/>
    <w:rsid w:val="02E16252"/>
    <w:rsid w:val="0364456F"/>
    <w:rsid w:val="03BC7143"/>
    <w:rsid w:val="054E44DE"/>
    <w:rsid w:val="05AE2D3A"/>
    <w:rsid w:val="067B0E8D"/>
    <w:rsid w:val="0747035C"/>
    <w:rsid w:val="08245929"/>
    <w:rsid w:val="093F7487"/>
    <w:rsid w:val="095F5E23"/>
    <w:rsid w:val="09942D19"/>
    <w:rsid w:val="09F3084B"/>
    <w:rsid w:val="0A184FF9"/>
    <w:rsid w:val="0A997AD5"/>
    <w:rsid w:val="0B2B0E97"/>
    <w:rsid w:val="0CEB23B7"/>
    <w:rsid w:val="0E6C191E"/>
    <w:rsid w:val="0EC800C5"/>
    <w:rsid w:val="0F2A0275"/>
    <w:rsid w:val="0F4E2F0A"/>
    <w:rsid w:val="0F761873"/>
    <w:rsid w:val="100C46D4"/>
    <w:rsid w:val="133E28C9"/>
    <w:rsid w:val="15740EFB"/>
    <w:rsid w:val="159338BB"/>
    <w:rsid w:val="16E85A17"/>
    <w:rsid w:val="17B85660"/>
    <w:rsid w:val="19A73653"/>
    <w:rsid w:val="1B69758F"/>
    <w:rsid w:val="1BFE65F1"/>
    <w:rsid w:val="1D593569"/>
    <w:rsid w:val="1FF06401"/>
    <w:rsid w:val="20E61BA6"/>
    <w:rsid w:val="213F5CE9"/>
    <w:rsid w:val="214636AB"/>
    <w:rsid w:val="222058B8"/>
    <w:rsid w:val="23573FDD"/>
    <w:rsid w:val="237918C7"/>
    <w:rsid w:val="23A5696B"/>
    <w:rsid w:val="256F4B06"/>
    <w:rsid w:val="27757C06"/>
    <w:rsid w:val="27947AEB"/>
    <w:rsid w:val="29232762"/>
    <w:rsid w:val="2BE52D11"/>
    <w:rsid w:val="2E87075F"/>
    <w:rsid w:val="30613AAC"/>
    <w:rsid w:val="31204D38"/>
    <w:rsid w:val="3124711F"/>
    <w:rsid w:val="31AB00F5"/>
    <w:rsid w:val="32982304"/>
    <w:rsid w:val="32D14456"/>
    <w:rsid w:val="339203AC"/>
    <w:rsid w:val="34BF2BA2"/>
    <w:rsid w:val="35002E87"/>
    <w:rsid w:val="36E0571D"/>
    <w:rsid w:val="37250B5A"/>
    <w:rsid w:val="376B5D33"/>
    <w:rsid w:val="386C1913"/>
    <w:rsid w:val="38C17AAB"/>
    <w:rsid w:val="392250FD"/>
    <w:rsid w:val="39E6505C"/>
    <w:rsid w:val="39FF0606"/>
    <w:rsid w:val="3BCA7043"/>
    <w:rsid w:val="3C4B1992"/>
    <w:rsid w:val="3E6F7A75"/>
    <w:rsid w:val="413C1E82"/>
    <w:rsid w:val="425D0C5D"/>
    <w:rsid w:val="43F65A7F"/>
    <w:rsid w:val="440E5C55"/>
    <w:rsid w:val="469C3AF7"/>
    <w:rsid w:val="47812CD4"/>
    <w:rsid w:val="48202140"/>
    <w:rsid w:val="48590FBA"/>
    <w:rsid w:val="49FC21AB"/>
    <w:rsid w:val="4AEF7BF6"/>
    <w:rsid w:val="4B1B5692"/>
    <w:rsid w:val="4B2832CB"/>
    <w:rsid w:val="4CA23DE9"/>
    <w:rsid w:val="4DF16ECD"/>
    <w:rsid w:val="4E051664"/>
    <w:rsid w:val="4FD47674"/>
    <w:rsid w:val="50291712"/>
    <w:rsid w:val="503A715A"/>
    <w:rsid w:val="50E73AB1"/>
    <w:rsid w:val="53731E3A"/>
    <w:rsid w:val="53DD62BA"/>
    <w:rsid w:val="54650040"/>
    <w:rsid w:val="54D66363"/>
    <w:rsid w:val="54E74C3D"/>
    <w:rsid w:val="552A1CA5"/>
    <w:rsid w:val="552F5628"/>
    <w:rsid w:val="56A2367E"/>
    <w:rsid w:val="57146A97"/>
    <w:rsid w:val="57356D0B"/>
    <w:rsid w:val="587D4964"/>
    <w:rsid w:val="59DE3BC9"/>
    <w:rsid w:val="5A065DA6"/>
    <w:rsid w:val="5B671D05"/>
    <w:rsid w:val="5C7A6D99"/>
    <w:rsid w:val="5C9A3C60"/>
    <w:rsid w:val="5F8F2E00"/>
    <w:rsid w:val="60422ED0"/>
    <w:rsid w:val="614E466E"/>
    <w:rsid w:val="61593E48"/>
    <w:rsid w:val="616922CB"/>
    <w:rsid w:val="61953A77"/>
    <w:rsid w:val="637F080E"/>
    <w:rsid w:val="64977EB1"/>
    <w:rsid w:val="64DC49E6"/>
    <w:rsid w:val="66557A13"/>
    <w:rsid w:val="66EF6CF0"/>
    <w:rsid w:val="6A6C1595"/>
    <w:rsid w:val="6C552D73"/>
    <w:rsid w:val="6C9415E3"/>
    <w:rsid w:val="6E170238"/>
    <w:rsid w:val="6E7B2494"/>
    <w:rsid w:val="6E9B5C04"/>
    <w:rsid w:val="6EED34B9"/>
    <w:rsid w:val="72671D9B"/>
    <w:rsid w:val="72922A1F"/>
    <w:rsid w:val="729A0794"/>
    <w:rsid w:val="73E60CC6"/>
    <w:rsid w:val="74EA4653"/>
    <w:rsid w:val="76466577"/>
    <w:rsid w:val="778F045A"/>
    <w:rsid w:val="7B1F3805"/>
    <w:rsid w:val="7B397374"/>
    <w:rsid w:val="7B921825"/>
    <w:rsid w:val="7E5C6721"/>
    <w:rsid w:val="7F83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0"/>
    <w:pPr>
      <w:keepNext/>
      <w:keepLines/>
      <w:spacing w:before="340" w:after="330" w:line="576" w:lineRule="auto"/>
      <w:outlineLvl w:val="0"/>
    </w:pPr>
    <w:rPr>
      <w:rFonts w:ascii="Calibri" w:hAnsi="Calibri" w:eastAsia="宋体" w:cs="Times New Roman"/>
      <w:b/>
      <w:kern w:val="44"/>
      <w:sz w:val="44"/>
      <w:szCs w:val="44"/>
    </w:rPr>
  </w:style>
  <w:style w:type="paragraph" w:styleId="3">
    <w:name w:val="heading 2"/>
    <w:basedOn w:val="1"/>
    <w:next w:val="1"/>
    <w:link w:val="18"/>
    <w:semiHidden/>
    <w:unhideWhenUsed/>
    <w:qFormat/>
    <w:uiPriority w:val="0"/>
    <w:pPr>
      <w:keepNext/>
      <w:keepLines/>
      <w:spacing w:before="260" w:after="260" w:line="415" w:lineRule="auto"/>
      <w:outlineLvl w:val="1"/>
    </w:pPr>
    <w:rPr>
      <w:rFonts w:ascii="Cambria" w:hAnsi="Cambria" w:eastAsia="宋体" w:cs="Times New Roman"/>
      <w:b/>
      <w:sz w:val="32"/>
      <w:szCs w:val="32"/>
    </w:rPr>
  </w:style>
  <w:style w:type="paragraph" w:styleId="4">
    <w:name w:val="heading 3"/>
    <w:basedOn w:val="1"/>
    <w:next w:val="1"/>
    <w:link w:val="19"/>
    <w:semiHidden/>
    <w:unhideWhenUsed/>
    <w:qFormat/>
    <w:uiPriority w:val="0"/>
    <w:pPr>
      <w:keepNext/>
      <w:keepLines/>
      <w:spacing w:before="260" w:after="260" w:line="415" w:lineRule="auto"/>
      <w:outlineLvl w:val="2"/>
    </w:pPr>
    <w:rPr>
      <w:rFonts w:ascii="Calibri" w:hAnsi="Calibri" w:eastAsia="宋体" w:cs="Times New Roman"/>
      <w:b/>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unhideWhenUsed/>
    <w:qFormat/>
    <w:uiPriority w:val="99"/>
    <w:pPr>
      <w:spacing w:before="100" w:beforeAutospacing="1"/>
      <w:ind w:left="125"/>
      <w:jc w:val="left"/>
    </w:pPr>
    <w:rPr>
      <w:rFonts w:ascii="宋体" w:hAnsi="宋体"/>
      <w:sz w:val="28"/>
      <w:szCs w:val="28"/>
    </w:rPr>
  </w:style>
  <w:style w:type="paragraph" w:styleId="6">
    <w:name w:val="Balloon Text"/>
    <w:basedOn w:val="1"/>
    <w:link w:val="16"/>
    <w:qFormat/>
    <w:uiPriority w:val="0"/>
    <w:rPr>
      <w:sz w:val="18"/>
    </w:rPr>
  </w:style>
  <w:style w:type="paragraph" w:styleId="7">
    <w:name w:val="footer"/>
    <w:basedOn w:val="1"/>
    <w:link w:val="21"/>
    <w:qFormat/>
    <w:uiPriority w:val="0"/>
    <w:pPr>
      <w:tabs>
        <w:tab w:val="center" w:pos="4153"/>
        <w:tab w:val="right" w:pos="8306"/>
      </w:tabs>
      <w:snapToGrid w:val="0"/>
      <w:jc w:val="left"/>
    </w:pPr>
    <w:rPr>
      <w:sz w:val="18"/>
    </w:rPr>
  </w:style>
  <w:style w:type="paragraph" w:styleId="8">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rPr>
      <w:rFonts w:ascii="Calibri" w:hAnsi="Calibri" w:cs="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cPr>
      <w:tcBorders>
        <w:top w:val="single" w:color="000000" w:sz="4" w:space="0"/>
        <w:left w:val="single" w:color="000000" w:sz="4" w:space="0"/>
        <w:bottom w:val="single" w:color="000000" w:sz="4" w:space="0"/>
        <w:right w:val="single" w:color="000000" w:sz="4" w:space="0"/>
      </w:tcBorders>
    </w:tcPr>
  </w:style>
  <w:style w:type="character" w:styleId="13">
    <w:name w:val="Strong"/>
    <w:basedOn w:val="12"/>
    <w:qFormat/>
    <w:uiPriority w:val="0"/>
    <w:rPr>
      <w:rFonts w:hint="eastAsia" w:ascii="微软雅黑" w:hAnsi="微软雅黑" w:eastAsia="微软雅黑" w:cs="微软雅黑"/>
      <w:b/>
      <w:color w:val="333333"/>
    </w:rPr>
  </w:style>
  <w:style w:type="character" w:styleId="14">
    <w:name w:val="Emphasis"/>
    <w:basedOn w:val="12"/>
    <w:qFormat/>
    <w:uiPriority w:val="0"/>
    <w:rPr>
      <w:rFonts w:hint="eastAsia" w:ascii="微软雅黑" w:hAnsi="微软雅黑" w:eastAsia="微软雅黑" w:cs="微软雅黑"/>
      <w:i/>
      <w:color w:val="333333"/>
    </w:rPr>
  </w:style>
  <w:style w:type="character" w:styleId="15">
    <w:name w:val="Hyperlink"/>
    <w:basedOn w:val="12"/>
    <w:qFormat/>
    <w:uiPriority w:val="0"/>
    <w:rPr>
      <w:color w:val="0000FF"/>
      <w:u w:val="single"/>
    </w:rPr>
  </w:style>
  <w:style w:type="character" w:customStyle="1" w:styleId="16">
    <w:name w:val="批注框文本 Char"/>
    <w:basedOn w:val="12"/>
    <w:link w:val="6"/>
    <w:qFormat/>
    <w:uiPriority w:val="0"/>
    <w:rPr>
      <w:sz w:val="18"/>
      <w:szCs w:val="18"/>
    </w:rPr>
  </w:style>
  <w:style w:type="character" w:customStyle="1" w:styleId="17">
    <w:name w:val="标题 1 Char"/>
    <w:basedOn w:val="12"/>
    <w:link w:val="2"/>
    <w:qFormat/>
    <w:uiPriority w:val="0"/>
    <w:rPr>
      <w:b/>
      <w:kern w:val="44"/>
      <w:sz w:val="44"/>
      <w:szCs w:val="44"/>
    </w:rPr>
  </w:style>
  <w:style w:type="character" w:customStyle="1" w:styleId="18">
    <w:name w:val="标题 2 Char"/>
    <w:basedOn w:val="12"/>
    <w:link w:val="3"/>
    <w:qFormat/>
    <w:uiPriority w:val="0"/>
    <w:rPr>
      <w:rFonts w:hint="default" w:ascii="Cambria" w:hAnsi="Cambria" w:eastAsia="宋体" w:cs="Times New Roman"/>
      <w:b/>
      <w:sz w:val="32"/>
      <w:szCs w:val="32"/>
    </w:rPr>
  </w:style>
  <w:style w:type="character" w:customStyle="1" w:styleId="19">
    <w:name w:val="标题 3 Char"/>
    <w:basedOn w:val="12"/>
    <w:link w:val="4"/>
    <w:qFormat/>
    <w:uiPriority w:val="0"/>
    <w:rPr>
      <w:b/>
      <w:sz w:val="32"/>
      <w:szCs w:val="32"/>
    </w:rPr>
  </w:style>
  <w:style w:type="character" w:customStyle="1" w:styleId="20">
    <w:name w:val="页眉 Char"/>
    <w:basedOn w:val="12"/>
    <w:link w:val="8"/>
    <w:qFormat/>
    <w:uiPriority w:val="0"/>
    <w:rPr>
      <w:sz w:val="18"/>
      <w:szCs w:val="18"/>
    </w:rPr>
  </w:style>
  <w:style w:type="character" w:customStyle="1" w:styleId="21">
    <w:name w:val="页脚 Char"/>
    <w:basedOn w:val="12"/>
    <w:link w:val="7"/>
    <w:qFormat/>
    <w:uiPriority w:val="0"/>
    <w:rPr>
      <w:sz w:val="18"/>
      <w:szCs w:val="18"/>
    </w:rPr>
  </w:style>
  <w:style w:type="character" w:customStyle="1" w:styleId="22">
    <w:name w:val="font01"/>
    <w:basedOn w:val="12"/>
    <w:qFormat/>
    <w:uiPriority w:val="0"/>
    <w:rPr>
      <w:rFonts w:hint="default" w:ascii="Arial" w:hAnsi="Arial" w:cs="Arial"/>
      <w:color w:val="0000FF"/>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Www.PcGho.Com</Company>
  <Pages>1</Pages>
  <Words>8421</Words>
  <Characters>48003</Characters>
  <Lines>400</Lines>
  <Paragraphs>112</Paragraphs>
  <TotalTime>4</TotalTime>
  <ScaleCrop>false</ScaleCrop>
  <LinksUpToDate>false</LinksUpToDate>
  <CharactersWithSpaces>56312</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凌水明</cp:lastModifiedBy>
  <cp:lastPrinted>2019-12-13T09:03:00Z</cp:lastPrinted>
  <dcterms:modified xsi:type="dcterms:W3CDTF">2020-01-22T01:14:29Z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